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51E" w:rsidRPr="00A3151E" w:rsidRDefault="00A3151E" w:rsidP="00A3151E">
      <w:pPr>
        <w:keepNext/>
        <w:jc w:val="both"/>
        <w:outlineLvl w:val="0"/>
        <w:rPr>
          <w:rFonts w:ascii="Arial" w:hAnsi="Arial" w:cs="Arial"/>
          <w:b/>
          <w:szCs w:val="20"/>
        </w:rPr>
      </w:pPr>
      <w:r w:rsidRPr="00A3151E">
        <w:rPr>
          <w:rFonts w:ascii="Arial" w:hAnsi="Arial" w:cs="Arial"/>
          <w:b/>
          <w:szCs w:val="20"/>
        </w:rPr>
        <w:t>La atención educativa integral a niños con antecedentes de ataxia en contextos inclusivos</w:t>
      </w:r>
    </w:p>
    <w:p w:rsidR="00B40099" w:rsidRPr="00A3151E" w:rsidRDefault="00B40099" w:rsidP="00B40099">
      <w:pPr>
        <w:pStyle w:val="Ttulo1"/>
        <w:spacing w:before="0" w:after="0"/>
        <w:jc w:val="both"/>
        <w:rPr>
          <w:rFonts w:ascii="Arial" w:hAnsi="Arial" w:cs="Arial"/>
          <w:lang w:val="es-ES"/>
        </w:rPr>
      </w:pPr>
    </w:p>
    <w:p w:rsidR="00A3151E" w:rsidRPr="00A3151E" w:rsidRDefault="00A3151E" w:rsidP="00A3151E">
      <w:pPr>
        <w:keepNext/>
        <w:jc w:val="both"/>
        <w:outlineLvl w:val="0"/>
        <w:rPr>
          <w:rFonts w:ascii="Arial" w:hAnsi="Arial" w:cs="Arial"/>
          <w:b/>
          <w:szCs w:val="20"/>
          <w:lang w:val="en-US"/>
        </w:rPr>
      </w:pPr>
      <w:r w:rsidRPr="00A3151E">
        <w:rPr>
          <w:rFonts w:ascii="Arial" w:hAnsi="Arial" w:cs="Arial"/>
          <w:b/>
          <w:szCs w:val="20"/>
          <w:lang w:val="en-US"/>
        </w:rPr>
        <w:t>Comprehensive educational care for children with ataxia in inclusive contexts</w:t>
      </w:r>
    </w:p>
    <w:p w:rsidR="00B40099" w:rsidRPr="00734AE9" w:rsidRDefault="00B40099" w:rsidP="00B40099">
      <w:pPr>
        <w:jc w:val="both"/>
        <w:rPr>
          <w:rFonts w:ascii="Arial" w:hAnsi="Arial" w:cs="Arial"/>
          <w:lang w:val="en-US" w:eastAsia="es-ES"/>
        </w:rPr>
      </w:pPr>
    </w:p>
    <w:p w:rsidR="00A3151E" w:rsidRPr="00A3151E" w:rsidRDefault="00A3151E" w:rsidP="00A3151E">
      <w:pPr>
        <w:jc w:val="both"/>
        <w:rPr>
          <w:rFonts w:ascii="Arial" w:hAnsi="Arial" w:cs="Arial"/>
          <w:sz w:val="20"/>
          <w:szCs w:val="20"/>
        </w:rPr>
      </w:pPr>
      <w:r w:rsidRPr="00A3151E">
        <w:rPr>
          <w:rFonts w:ascii="Arial" w:hAnsi="Arial" w:cs="Arial"/>
          <w:sz w:val="20"/>
          <w:szCs w:val="20"/>
        </w:rPr>
        <w:t>Mayelín Caridad Martínez Cepena</w:t>
      </w:r>
      <w:r w:rsidRPr="00A3151E">
        <w:rPr>
          <w:rFonts w:ascii="Arial" w:hAnsi="Arial" w:cs="Arial"/>
          <w:sz w:val="20"/>
          <w:szCs w:val="20"/>
          <w:vertAlign w:val="superscript"/>
        </w:rPr>
        <w:t>1</w:t>
      </w:r>
      <w:r w:rsidRPr="00A3151E">
        <w:rPr>
          <w:rFonts w:ascii="Arial" w:hAnsi="Arial" w:cs="Arial"/>
          <w:sz w:val="20"/>
          <w:szCs w:val="20"/>
        </w:rPr>
        <w:t xml:space="preserve">, </w:t>
      </w:r>
      <w:proofErr w:type="spellStart"/>
      <w:r w:rsidRPr="00A3151E">
        <w:rPr>
          <w:rFonts w:ascii="Arial" w:hAnsi="Arial" w:cs="Arial"/>
          <w:sz w:val="20"/>
          <w:szCs w:val="20"/>
        </w:rPr>
        <w:t>Yaima</w:t>
      </w:r>
      <w:proofErr w:type="spellEnd"/>
      <w:r w:rsidRPr="00A3151E">
        <w:rPr>
          <w:rFonts w:ascii="Arial" w:hAnsi="Arial" w:cs="Arial"/>
          <w:sz w:val="20"/>
          <w:szCs w:val="20"/>
        </w:rPr>
        <w:t xml:space="preserve"> Yero Leyva</w:t>
      </w:r>
      <w:r w:rsidRPr="00A3151E">
        <w:rPr>
          <w:rFonts w:ascii="Arial" w:hAnsi="Arial" w:cs="Arial"/>
          <w:sz w:val="20"/>
          <w:szCs w:val="20"/>
          <w:vertAlign w:val="superscript"/>
        </w:rPr>
        <w:t>2</w:t>
      </w:r>
      <w:r w:rsidRPr="00A3151E">
        <w:rPr>
          <w:rFonts w:ascii="Arial" w:hAnsi="Arial" w:cs="Arial"/>
          <w:sz w:val="20"/>
          <w:szCs w:val="20"/>
        </w:rPr>
        <w:t>, Lázaro López Cuenca</w:t>
      </w:r>
      <w:r w:rsidRPr="00A3151E">
        <w:rPr>
          <w:rFonts w:ascii="Arial" w:hAnsi="Arial" w:cs="Arial"/>
          <w:sz w:val="20"/>
          <w:szCs w:val="20"/>
          <w:vertAlign w:val="superscript"/>
        </w:rPr>
        <w:t>3</w:t>
      </w:r>
    </w:p>
    <w:p w:rsidR="00B40099" w:rsidRPr="0057622B" w:rsidRDefault="00B40099" w:rsidP="00B40099">
      <w:pPr>
        <w:jc w:val="both"/>
        <w:rPr>
          <w:rFonts w:ascii="Arial" w:hAnsi="Arial" w:cs="Arial"/>
          <w:sz w:val="20"/>
          <w:szCs w:val="20"/>
        </w:rPr>
      </w:pPr>
    </w:p>
    <w:p w:rsidR="00A3151E" w:rsidRPr="00A3151E" w:rsidRDefault="00A3151E" w:rsidP="00A3151E">
      <w:pPr>
        <w:jc w:val="both"/>
        <w:rPr>
          <w:rFonts w:ascii="Arial" w:hAnsi="Arial" w:cs="Arial"/>
          <w:sz w:val="20"/>
          <w:szCs w:val="20"/>
          <w:lang w:val="es-MX"/>
        </w:rPr>
      </w:pPr>
      <w:r w:rsidRPr="00A3151E">
        <w:rPr>
          <w:rFonts w:ascii="Arial" w:hAnsi="Arial" w:cs="Arial"/>
          <w:sz w:val="20"/>
          <w:szCs w:val="20"/>
          <w:vertAlign w:val="superscript"/>
        </w:rPr>
        <w:t>1</w:t>
      </w:r>
      <w:proofErr w:type="spellStart"/>
      <w:r w:rsidRPr="00A3151E">
        <w:rPr>
          <w:rFonts w:ascii="Arial" w:hAnsi="Arial" w:cs="Arial"/>
          <w:sz w:val="20"/>
          <w:szCs w:val="20"/>
          <w:lang w:val="es-MX"/>
        </w:rPr>
        <w:t>UHo</w:t>
      </w:r>
      <w:proofErr w:type="spellEnd"/>
      <w:r w:rsidRPr="00A3151E">
        <w:rPr>
          <w:rFonts w:ascii="Arial" w:hAnsi="Arial" w:cs="Arial"/>
          <w:sz w:val="20"/>
          <w:szCs w:val="20"/>
          <w:lang w:val="es-MX"/>
        </w:rPr>
        <w:t xml:space="preserve">, Cuba, </w:t>
      </w:r>
      <w:hyperlink r:id="rId8" w:history="1">
        <w:r w:rsidRPr="00A3151E">
          <w:rPr>
            <w:rFonts w:ascii="Arial" w:hAnsi="Arial" w:cs="Arial"/>
            <w:color w:val="0000FF"/>
            <w:sz w:val="20"/>
            <w:szCs w:val="20"/>
            <w:u w:val="single"/>
            <w:lang w:val="es-MX"/>
          </w:rPr>
          <w:t>cepena@uho.edu.cu</w:t>
        </w:r>
      </w:hyperlink>
      <w:r w:rsidRPr="00A3151E">
        <w:rPr>
          <w:rFonts w:ascii="Arial" w:hAnsi="Arial" w:cs="Arial"/>
          <w:sz w:val="20"/>
          <w:szCs w:val="20"/>
        </w:rPr>
        <w:t xml:space="preserve">, </w:t>
      </w:r>
      <w:r w:rsidRPr="00A3151E">
        <w:rPr>
          <w:rFonts w:ascii="Arial" w:hAnsi="Arial" w:cs="Arial"/>
          <w:sz w:val="20"/>
          <w:szCs w:val="20"/>
          <w:vertAlign w:val="superscript"/>
        </w:rPr>
        <w:t>2</w:t>
      </w:r>
      <w:proofErr w:type="spellStart"/>
      <w:r w:rsidRPr="00A3151E">
        <w:rPr>
          <w:rFonts w:ascii="Arial" w:hAnsi="Arial" w:cs="Arial"/>
          <w:sz w:val="20"/>
          <w:szCs w:val="20"/>
          <w:lang w:val="es-MX"/>
        </w:rPr>
        <w:t>UHo</w:t>
      </w:r>
      <w:proofErr w:type="spellEnd"/>
      <w:r w:rsidRPr="00A3151E">
        <w:rPr>
          <w:rFonts w:ascii="Arial" w:hAnsi="Arial" w:cs="Arial"/>
          <w:sz w:val="20"/>
          <w:szCs w:val="20"/>
          <w:lang w:val="es-MX"/>
        </w:rPr>
        <w:t>, Cuba, Estudiante de 2do año, Carrera de Educación Especial</w:t>
      </w:r>
      <w:r w:rsidRPr="00A3151E">
        <w:rPr>
          <w:rFonts w:ascii="Arial" w:hAnsi="Arial" w:cs="Arial"/>
          <w:sz w:val="20"/>
          <w:szCs w:val="20"/>
        </w:rPr>
        <w:t xml:space="preserve">, </w:t>
      </w:r>
      <w:r w:rsidRPr="00A3151E">
        <w:rPr>
          <w:rFonts w:ascii="Arial" w:hAnsi="Arial" w:cs="Arial"/>
          <w:sz w:val="20"/>
          <w:szCs w:val="20"/>
          <w:vertAlign w:val="superscript"/>
        </w:rPr>
        <w:t>2</w:t>
      </w:r>
      <w:proofErr w:type="spellStart"/>
      <w:r w:rsidRPr="00A3151E">
        <w:rPr>
          <w:rFonts w:ascii="Arial" w:hAnsi="Arial" w:cs="Arial"/>
          <w:sz w:val="20"/>
          <w:szCs w:val="20"/>
          <w:lang w:val="es-MX"/>
        </w:rPr>
        <w:t>UHo</w:t>
      </w:r>
      <w:proofErr w:type="spellEnd"/>
      <w:r w:rsidRPr="00A3151E">
        <w:rPr>
          <w:rFonts w:ascii="Arial" w:hAnsi="Arial" w:cs="Arial"/>
          <w:sz w:val="20"/>
          <w:szCs w:val="20"/>
          <w:lang w:val="es-MX"/>
        </w:rPr>
        <w:t>, Cuba, Estudiante de 1er año, Carrera de Educación Especial.</w:t>
      </w:r>
    </w:p>
    <w:p w:rsidR="00B40099" w:rsidRPr="0057622B" w:rsidRDefault="00B40099" w:rsidP="00B40099">
      <w:pPr>
        <w:jc w:val="both"/>
        <w:rPr>
          <w:rStyle w:val="Titulo4Car"/>
          <w:rFonts w:ascii="Arial" w:hAnsi="Arial" w:cs="Arial"/>
        </w:rPr>
      </w:pPr>
    </w:p>
    <w:p w:rsidR="00B40099" w:rsidRPr="0057622B" w:rsidRDefault="00B40099" w:rsidP="00B40099">
      <w:pPr>
        <w:jc w:val="both"/>
        <w:rPr>
          <w:rFonts w:ascii="Arial" w:hAnsi="Arial" w:cs="Arial"/>
          <w:sz w:val="20"/>
          <w:szCs w:val="20"/>
        </w:rPr>
      </w:pPr>
      <w:r w:rsidRPr="0057622B">
        <w:rPr>
          <w:rStyle w:val="Titulo4Car"/>
          <w:rFonts w:ascii="Arial" w:hAnsi="Arial" w:cs="Arial"/>
          <w:caps w:val="0"/>
        </w:rPr>
        <w:t>RESUMEN</w:t>
      </w:r>
    </w:p>
    <w:p w:rsidR="00665207" w:rsidRPr="00436EAD" w:rsidRDefault="00665207" w:rsidP="00B40099">
      <w:pPr>
        <w:contextualSpacing/>
        <w:jc w:val="both"/>
        <w:rPr>
          <w:rFonts w:ascii="Arial" w:eastAsia="Times New Roman" w:hAnsi="Arial" w:cs="Arial"/>
          <w:sz w:val="20"/>
          <w:szCs w:val="20"/>
          <w:lang w:eastAsia="en-US"/>
        </w:rPr>
      </w:pPr>
    </w:p>
    <w:p w:rsidR="004552CE" w:rsidRPr="004552CE" w:rsidRDefault="004552CE" w:rsidP="004552CE">
      <w:pPr>
        <w:jc w:val="both"/>
        <w:rPr>
          <w:rFonts w:ascii="Arial" w:eastAsia="Times New Roman" w:hAnsi="Arial" w:cs="Arial"/>
          <w:sz w:val="20"/>
          <w:szCs w:val="20"/>
          <w:lang w:val="es-MX" w:eastAsia="en-US"/>
        </w:rPr>
      </w:pPr>
      <w:r w:rsidRPr="004552CE">
        <w:rPr>
          <w:rFonts w:ascii="Arial" w:eastAsia="Times New Roman" w:hAnsi="Arial" w:cs="Arial"/>
          <w:sz w:val="20"/>
          <w:szCs w:val="20"/>
          <w:lang w:val="es-MX" w:eastAsia="en-US"/>
        </w:rPr>
        <w:t xml:space="preserve">La ataxia </w:t>
      </w:r>
      <w:proofErr w:type="spellStart"/>
      <w:r w:rsidRPr="004552CE">
        <w:rPr>
          <w:rFonts w:ascii="Arial" w:eastAsia="Times New Roman" w:hAnsi="Arial" w:cs="Arial"/>
          <w:sz w:val="20"/>
          <w:szCs w:val="20"/>
          <w:lang w:val="es-MX" w:eastAsia="en-US"/>
        </w:rPr>
        <w:t>espinocerebelosa</w:t>
      </w:r>
      <w:proofErr w:type="spellEnd"/>
      <w:r w:rsidRPr="004552CE">
        <w:rPr>
          <w:rFonts w:ascii="Arial" w:eastAsia="Times New Roman" w:hAnsi="Arial" w:cs="Arial"/>
          <w:sz w:val="20"/>
          <w:szCs w:val="20"/>
          <w:lang w:val="es-MX" w:eastAsia="en-US"/>
        </w:rPr>
        <w:t xml:space="preserve"> tipo 2 (SCA2) constituye una problemática de salud en Cuba, de forma particular en la provincia de Holguín, al concentrar a nivel mundial la mayor cifra de población enferma y en riesgo. En consecuencia, el problema objeto de investigación radica en la insuficiente preparación de los docentes y directivos para dirigir la atención educativa de niños con antecedentes de ataxia en contextos inclusivos. El objetivo de este estudio consiste en la elaboración de un conjunto de actividades docentes y </w:t>
      </w:r>
      <w:proofErr w:type="spellStart"/>
      <w:r w:rsidRPr="004552CE">
        <w:rPr>
          <w:rFonts w:ascii="Arial" w:eastAsia="Times New Roman" w:hAnsi="Arial" w:cs="Arial"/>
          <w:sz w:val="20"/>
          <w:szCs w:val="20"/>
          <w:lang w:val="es-MX" w:eastAsia="en-US"/>
        </w:rPr>
        <w:t>extradocentes</w:t>
      </w:r>
      <w:proofErr w:type="spellEnd"/>
      <w:r w:rsidRPr="004552CE">
        <w:rPr>
          <w:rFonts w:ascii="Arial" w:eastAsia="Times New Roman" w:hAnsi="Arial" w:cs="Arial"/>
          <w:sz w:val="20"/>
          <w:szCs w:val="20"/>
          <w:lang w:val="es-MX" w:eastAsia="en-US"/>
        </w:rPr>
        <w:t xml:space="preserve"> que contribuya a la corrección de la disartria por SCA2, y el desarrollo de otras áreas del desarrollo humano que pueda afectarse ante su aparición. La utilización de los métodos teóricos y empíricos, en su relación dialéctica, permitió determinar las regularidades que se manifiestan en el lenguaje y motricidad los niños con antecedentes de SCA2 y comprobar la factibilidad de la prop</w:t>
      </w:r>
      <w:r w:rsidR="006A2597">
        <w:rPr>
          <w:rFonts w:ascii="Arial" w:eastAsia="Times New Roman" w:hAnsi="Arial" w:cs="Arial"/>
          <w:sz w:val="20"/>
          <w:szCs w:val="20"/>
          <w:lang w:val="es-MX" w:eastAsia="en-US"/>
        </w:rPr>
        <w:t>uesta en la práctica educativa.</w:t>
      </w:r>
      <w:bookmarkStart w:id="0" w:name="_GoBack"/>
      <w:bookmarkEnd w:id="0"/>
    </w:p>
    <w:p w:rsidR="00A3151E" w:rsidRPr="004552CE" w:rsidRDefault="00A3151E" w:rsidP="00A3151E">
      <w:pPr>
        <w:contextualSpacing/>
        <w:jc w:val="both"/>
        <w:rPr>
          <w:rFonts w:ascii="Arial" w:eastAsia="Times New Roman" w:hAnsi="Arial" w:cs="Arial"/>
          <w:sz w:val="20"/>
          <w:szCs w:val="20"/>
          <w:lang w:val="es-MX" w:eastAsia="en-US"/>
        </w:rPr>
      </w:pPr>
    </w:p>
    <w:p w:rsidR="00A3151E" w:rsidRPr="00A3151E" w:rsidRDefault="00A3151E" w:rsidP="00A3151E">
      <w:pPr>
        <w:contextualSpacing/>
        <w:jc w:val="both"/>
        <w:rPr>
          <w:rFonts w:ascii="Arial" w:eastAsia="Times New Roman" w:hAnsi="Arial" w:cs="Arial"/>
          <w:sz w:val="20"/>
          <w:szCs w:val="20"/>
          <w:lang w:eastAsia="en-US"/>
        </w:rPr>
      </w:pPr>
      <w:r w:rsidRPr="00A3151E">
        <w:rPr>
          <w:rFonts w:ascii="Arial" w:eastAsia="Times New Roman" w:hAnsi="Arial" w:cs="Arial"/>
          <w:sz w:val="20"/>
          <w:szCs w:val="20"/>
          <w:lang w:eastAsia="en-US"/>
        </w:rPr>
        <w:t>Palabras clave: educación especial; atención educativa; ataxia; inclusión.</w:t>
      </w:r>
    </w:p>
    <w:p w:rsidR="00B40099" w:rsidRPr="00436EAD" w:rsidRDefault="00B40099" w:rsidP="00B40099">
      <w:pPr>
        <w:pStyle w:val="Titulo5"/>
        <w:rPr>
          <w:rFonts w:ascii="Arial" w:hAnsi="Arial" w:cs="Arial"/>
          <w:lang w:val="es-ES"/>
        </w:rPr>
      </w:pPr>
    </w:p>
    <w:p w:rsidR="00B40099" w:rsidRPr="0057622B" w:rsidRDefault="00B40099" w:rsidP="00B40099">
      <w:pPr>
        <w:jc w:val="both"/>
        <w:rPr>
          <w:rFonts w:ascii="Arial" w:hAnsi="Arial" w:cs="Arial"/>
          <w:b/>
          <w:sz w:val="20"/>
          <w:lang w:val="en-US" w:eastAsia="es-ES"/>
        </w:rPr>
      </w:pPr>
      <w:r w:rsidRPr="0057622B">
        <w:rPr>
          <w:rFonts w:ascii="Arial" w:hAnsi="Arial" w:cs="Arial"/>
          <w:b/>
          <w:sz w:val="20"/>
          <w:lang w:val="en-US" w:eastAsia="es-ES"/>
        </w:rPr>
        <w:t>ABSTRACT</w:t>
      </w:r>
    </w:p>
    <w:p w:rsidR="00A3151E" w:rsidRPr="00A3151E" w:rsidRDefault="00F06975" w:rsidP="00A3151E">
      <w:pPr>
        <w:pStyle w:val="Titulo5"/>
        <w:rPr>
          <w:rFonts w:ascii="Arial" w:hAnsi="Arial" w:cs="Arial"/>
          <w:lang w:val="en-US"/>
        </w:rPr>
      </w:pPr>
      <w:r w:rsidRPr="00A3151E">
        <w:rPr>
          <w:rFonts w:ascii="Arial" w:hAnsi="Arial" w:cs="Arial"/>
          <w:lang w:val="en-US" w:eastAsia="en-US"/>
        </w:rPr>
        <w:br/>
      </w:r>
      <w:proofErr w:type="spellStart"/>
      <w:r w:rsidR="00A3151E" w:rsidRPr="00A3151E">
        <w:rPr>
          <w:rFonts w:ascii="Arial" w:hAnsi="Arial" w:cs="Arial"/>
          <w:lang w:val="en-US"/>
        </w:rPr>
        <w:t>Spinocerebellar</w:t>
      </w:r>
      <w:proofErr w:type="spellEnd"/>
      <w:r w:rsidR="00A3151E" w:rsidRPr="00A3151E">
        <w:rPr>
          <w:rFonts w:ascii="Arial" w:hAnsi="Arial" w:cs="Arial"/>
          <w:lang w:val="en-US"/>
        </w:rPr>
        <w:t xml:space="preserve"> ataxia type </w:t>
      </w:r>
      <w:proofErr w:type="gramStart"/>
      <w:r w:rsidR="00A3151E" w:rsidRPr="00A3151E">
        <w:rPr>
          <w:rFonts w:ascii="Arial" w:hAnsi="Arial" w:cs="Arial"/>
          <w:lang w:val="en-US"/>
        </w:rPr>
        <w:t>2</w:t>
      </w:r>
      <w:proofErr w:type="gramEnd"/>
      <w:r w:rsidR="00A3151E" w:rsidRPr="00A3151E">
        <w:rPr>
          <w:rFonts w:ascii="Arial" w:hAnsi="Arial" w:cs="Arial"/>
          <w:lang w:val="en-US"/>
        </w:rPr>
        <w:t xml:space="preserve"> (SCA2) represents a health problem for Cuba, especially for the province of Holguin, which concentrates the sickest and at greatest risk that has been reported worldwide so far. Precisely the problem that underpins this work </w:t>
      </w:r>
      <w:proofErr w:type="gramStart"/>
      <w:r w:rsidR="00A3151E" w:rsidRPr="00A3151E">
        <w:rPr>
          <w:rFonts w:ascii="Arial" w:hAnsi="Arial" w:cs="Arial"/>
          <w:lang w:val="en-US"/>
        </w:rPr>
        <w:t>is directly related</w:t>
      </w:r>
      <w:proofErr w:type="gramEnd"/>
      <w:r w:rsidR="00A3151E" w:rsidRPr="00A3151E">
        <w:rPr>
          <w:rFonts w:ascii="Arial" w:hAnsi="Arial" w:cs="Arial"/>
          <w:lang w:val="en-US"/>
        </w:rPr>
        <w:t xml:space="preserve"> to the insufficient preparation of teachers and managers to carry out the educational attention of children with a history of ataxia in inclusive contexts. The aim of this study to solve the previous </w:t>
      </w:r>
      <w:proofErr w:type="gramStart"/>
      <w:r w:rsidR="00A3151E" w:rsidRPr="00A3151E">
        <w:rPr>
          <w:rFonts w:ascii="Arial" w:hAnsi="Arial" w:cs="Arial"/>
          <w:lang w:val="en-US"/>
        </w:rPr>
        <w:t>problem,</w:t>
      </w:r>
      <w:proofErr w:type="gramEnd"/>
      <w:r w:rsidR="00A3151E" w:rsidRPr="00A3151E">
        <w:rPr>
          <w:rFonts w:ascii="Arial" w:hAnsi="Arial" w:cs="Arial"/>
          <w:lang w:val="en-US"/>
        </w:rPr>
        <w:t xml:space="preserve"> was focused on the development of a set of teaching and </w:t>
      </w:r>
      <w:proofErr w:type="spellStart"/>
      <w:r w:rsidR="00A3151E" w:rsidRPr="00A3151E">
        <w:rPr>
          <w:rFonts w:ascii="Arial" w:hAnsi="Arial" w:cs="Arial"/>
          <w:lang w:val="en-US"/>
        </w:rPr>
        <w:t>extradocentes</w:t>
      </w:r>
      <w:proofErr w:type="spellEnd"/>
      <w:r w:rsidR="00A3151E" w:rsidRPr="00A3151E">
        <w:rPr>
          <w:rFonts w:ascii="Arial" w:hAnsi="Arial" w:cs="Arial"/>
          <w:lang w:val="en-US"/>
        </w:rPr>
        <w:t xml:space="preserve"> activities that contributes to the correction of dysarthria by type II </w:t>
      </w:r>
      <w:proofErr w:type="spellStart"/>
      <w:r w:rsidR="00A3151E" w:rsidRPr="00A3151E">
        <w:rPr>
          <w:rFonts w:ascii="Arial" w:hAnsi="Arial" w:cs="Arial"/>
          <w:lang w:val="en-US"/>
        </w:rPr>
        <w:t>spinocerebellar</w:t>
      </w:r>
      <w:proofErr w:type="spellEnd"/>
      <w:r w:rsidR="00A3151E" w:rsidRPr="00A3151E">
        <w:rPr>
          <w:rFonts w:ascii="Arial" w:hAnsi="Arial" w:cs="Arial"/>
          <w:lang w:val="en-US"/>
        </w:rPr>
        <w:t xml:space="preserve"> ataxia as well as the development of other areas that may be affected by the occurrence of said disease. The use of theoretical and empirical methods allowed to determine the regularities that are manifested in the language and motor skills of </w:t>
      </w:r>
      <w:proofErr w:type="gramStart"/>
      <w:r w:rsidR="00A3151E" w:rsidRPr="00A3151E">
        <w:rPr>
          <w:rFonts w:ascii="Arial" w:hAnsi="Arial" w:cs="Arial"/>
          <w:lang w:val="en-US"/>
        </w:rPr>
        <w:t>school children</w:t>
      </w:r>
      <w:proofErr w:type="gramEnd"/>
      <w:r w:rsidR="00A3151E" w:rsidRPr="00A3151E">
        <w:rPr>
          <w:rFonts w:ascii="Arial" w:hAnsi="Arial" w:cs="Arial"/>
          <w:lang w:val="en-US"/>
        </w:rPr>
        <w:t xml:space="preserve"> with a history of ataxia and to verify the feasibility of the proposal in educational practice.</w:t>
      </w:r>
    </w:p>
    <w:p w:rsidR="00A3151E" w:rsidRPr="00A3151E" w:rsidRDefault="00A3151E" w:rsidP="00A3151E">
      <w:pPr>
        <w:jc w:val="both"/>
        <w:rPr>
          <w:rFonts w:ascii="Arial" w:eastAsia="Times New Roman" w:hAnsi="Arial" w:cs="Arial"/>
          <w:sz w:val="20"/>
          <w:szCs w:val="20"/>
          <w:lang w:val="en-US" w:eastAsia="es-ES"/>
        </w:rPr>
      </w:pPr>
      <w:r w:rsidRPr="00A3151E">
        <w:rPr>
          <w:rFonts w:ascii="Arial" w:eastAsia="Times New Roman" w:hAnsi="Arial" w:cs="Arial"/>
          <w:sz w:val="20"/>
          <w:szCs w:val="20"/>
          <w:lang w:val="en-US" w:eastAsia="es-ES"/>
        </w:rPr>
        <w:br/>
        <w:t>Keywords: special education; educational attention; ataxia; inclusion.</w:t>
      </w:r>
    </w:p>
    <w:p w:rsidR="00A3151E" w:rsidRPr="00A3151E" w:rsidRDefault="00A3151E" w:rsidP="00A3151E">
      <w:pPr>
        <w:jc w:val="both"/>
        <w:rPr>
          <w:rFonts w:ascii="Arial" w:hAnsi="Arial" w:cs="Arial"/>
          <w:sz w:val="20"/>
          <w:szCs w:val="20"/>
          <w:lang w:val="en-US"/>
        </w:rPr>
      </w:pPr>
    </w:p>
    <w:p w:rsidR="00B40099" w:rsidRPr="00A3151E" w:rsidRDefault="00B40099" w:rsidP="00A3151E">
      <w:pPr>
        <w:contextualSpacing/>
        <w:jc w:val="both"/>
        <w:rPr>
          <w:rFonts w:ascii="Arial" w:eastAsia="Times New Roman" w:hAnsi="Arial" w:cs="Arial"/>
          <w:sz w:val="20"/>
          <w:szCs w:val="20"/>
          <w:lang w:val="en-US" w:eastAsia="en-US"/>
        </w:rPr>
      </w:pPr>
    </w:p>
    <w:p w:rsidR="00445574" w:rsidRPr="00445574" w:rsidRDefault="003D02E5" w:rsidP="003D02E5">
      <w:pPr>
        <w:pStyle w:val="Titulo4"/>
        <w:jc w:val="both"/>
        <w:rPr>
          <w:rFonts w:ascii="Arial" w:hAnsi="Arial" w:cs="Arial"/>
          <w:lang w:val="es-ES"/>
        </w:rPr>
      </w:pPr>
      <w:r>
        <w:rPr>
          <w:rFonts w:ascii="Arial" w:hAnsi="Arial" w:cs="Arial"/>
          <w:lang w:val="es-ES"/>
        </w:rPr>
        <w:t>1.</w:t>
      </w:r>
      <w:r w:rsidR="00445574" w:rsidRPr="00445574">
        <w:rPr>
          <w:rFonts w:ascii="Arial" w:hAnsi="Arial" w:cs="Arial"/>
          <w:lang w:val="es-ES"/>
        </w:rPr>
        <w:t xml:space="preserve"> INTRODUCCIÓN</w:t>
      </w:r>
    </w:p>
    <w:p w:rsidR="00445574" w:rsidRPr="00445574" w:rsidRDefault="00445574" w:rsidP="00445574">
      <w:pPr>
        <w:jc w:val="both"/>
        <w:rPr>
          <w:rFonts w:ascii="Arial" w:hAnsi="Arial" w:cs="Arial"/>
          <w:bCs/>
          <w:sz w:val="20"/>
          <w:szCs w:val="20"/>
        </w:rPr>
      </w:pPr>
    </w:p>
    <w:p w:rsidR="00963F31" w:rsidRPr="00963F31" w:rsidRDefault="00963F31" w:rsidP="00963F31">
      <w:pPr>
        <w:pStyle w:val="Titulo5"/>
        <w:rPr>
          <w:rFonts w:ascii="Arial" w:hAnsi="Arial" w:cs="Arial"/>
        </w:rPr>
      </w:pPr>
      <w:r w:rsidRPr="00963F31">
        <w:rPr>
          <w:rFonts w:ascii="Arial" w:hAnsi="Arial" w:cs="Arial"/>
        </w:rPr>
        <w:t>La  educación  debe  ser  objeto  de  grandes  consensos  colectivos que garanticen  el  compromiso  de  toda  la  sociedad  para  la  formación  de  sus futuras   generaciones y  la continuidad de  las políticas y programas puestos en marcha. En  Cuba  la  calidad  educacional  se  manifiesta  como  criterio  en  diversas direcciones. Se  parte,  fundamentalmente  después  del  triunfo  revolucionario de  un  elemento  básico:  la  extensión  de  los  servicios  educacionales.  Ello contribuye  a  la  participación  social  plena  en  los  diversos  ámbitos  del quehacer humano con mayor capacidad si se  tiene en cuenta que hay una interrelación dinámica entre calidad de la educación y calidad de vida, independientemente de que la personas presenten alguna discapacidad o alteración genética.</w:t>
      </w:r>
    </w:p>
    <w:p w:rsidR="00963F31" w:rsidRPr="00963F31" w:rsidRDefault="00963F31" w:rsidP="00963F31">
      <w:pPr>
        <w:pStyle w:val="Titulo5"/>
        <w:rPr>
          <w:rFonts w:ascii="Arial" w:hAnsi="Arial" w:cs="Arial"/>
        </w:rPr>
      </w:pPr>
      <w:r w:rsidRPr="00963F31">
        <w:rPr>
          <w:rFonts w:ascii="Arial" w:hAnsi="Arial" w:cs="Arial"/>
        </w:rPr>
        <w:lastRenderedPageBreak/>
        <w:t xml:space="preserve">En la literatura internacional se han descrito 552 enfermedades genéticas en las que la ataxia constituye uno de los síntomas. Se diferencian en la edad de aparición, modo de herencia y otras características. El mayor número de personas afectadas en Cuba se encuentran en la provincia de Holguín, por el denominado "efecto fundador" de un gen. Es decir, ciertas enfermedades genéticas pueden ser frecuentes en poblaciones particulares en las que todos los individuos descienden de un número relativo de pequeños ancestros, uno o unos pocos de los cuales tienen una enfermedad particular, la tasa de prevalencia del gen llega a superar los 200 casos por 100000 habitantes, y hasta la fecha no tiene curación. </w:t>
      </w:r>
    </w:p>
    <w:p w:rsidR="00963F31" w:rsidRPr="00963F31" w:rsidRDefault="00963F31" w:rsidP="00963F31">
      <w:pPr>
        <w:pStyle w:val="Titulo5"/>
        <w:rPr>
          <w:rFonts w:ascii="Arial" w:hAnsi="Arial" w:cs="Arial"/>
        </w:rPr>
      </w:pPr>
      <w:r w:rsidRPr="00963F31">
        <w:rPr>
          <w:rFonts w:ascii="Arial" w:hAnsi="Arial" w:cs="Arial"/>
        </w:rPr>
        <w:t xml:space="preserve">Al respecto, existen en la provincia investigaciones relacionadas con la temática objeto de estudio en el presente trabajo, como por ejemplo la realizada por el </w:t>
      </w:r>
      <w:proofErr w:type="spellStart"/>
      <w:r w:rsidRPr="00963F31">
        <w:rPr>
          <w:rFonts w:ascii="Arial" w:hAnsi="Arial" w:cs="Arial"/>
        </w:rPr>
        <w:t>DrC</w:t>
      </w:r>
      <w:proofErr w:type="spellEnd"/>
      <w:r w:rsidRPr="00963F31">
        <w:rPr>
          <w:rFonts w:ascii="Arial" w:hAnsi="Arial" w:cs="Arial"/>
        </w:rPr>
        <w:t xml:space="preserve">. Luis Velázquez Pérez (2006), que está dirigida a la preparación del personal de salud sobre los principales aspectos neurológicos en el diagnóstico, pronóstico y evolución de la enfermedad Ataxia </w:t>
      </w:r>
      <w:proofErr w:type="spellStart"/>
      <w:r w:rsidRPr="00963F31">
        <w:rPr>
          <w:rFonts w:ascii="Arial" w:hAnsi="Arial" w:cs="Arial"/>
        </w:rPr>
        <w:t>Espinocerebelosa</w:t>
      </w:r>
      <w:proofErr w:type="spellEnd"/>
      <w:r w:rsidRPr="00963F31">
        <w:rPr>
          <w:rFonts w:ascii="Arial" w:hAnsi="Arial" w:cs="Arial"/>
        </w:rPr>
        <w:t xml:space="preserve"> tipo 2 que actualmente se recogen sus ideas en un libro del mismo nombre. También se puede consultar la publicación: Manifestaciones tempranas de la Ataxia </w:t>
      </w:r>
      <w:proofErr w:type="spellStart"/>
      <w:r w:rsidRPr="00963F31">
        <w:rPr>
          <w:rFonts w:ascii="Arial" w:hAnsi="Arial" w:cs="Arial"/>
        </w:rPr>
        <w:t>Espinocerebelosa</w:t>
      </w:r>
      <w:proofErr w:type="spellEnd"/>
      <w:r w:rsidRPr="00963F31">
        <w:rPr>
          <w:rFonts w:ascii="Arial" w:hAnsi="Arial" w:cs="Arial"/>
        </w:rPr>
        <w:t xml:space="preserve"> Tipo2 del </w:t>
      </w:r>
      <w:proofErr w:type="spellStart"/>
      <w:r w:rsidRPr="00963F31">
        <w:rPr>
          <w:rFonts w:ascii="Arial" w:hAnsi="Arial" w:cs="Arial"/>
        </w:rPr>
        <w:t>DrCs</w:t>
      </w:r>
      <w:proofErr w:type="spellEnd"/>
      <w:r w:rsidRPr="00963F31">
        <w:rPr>
          <w:rFonts w:ascii="Arial" w:hAnsi="Arial" w:cs="Arial"/>
        </w:rPr>
        <w:t>. Luis Velázquez Pérez y el Lic. Roberto Rodríguez Labrada (2012).</w:t>
      </w:r>
    </w:p>
    <w:p w:rsidR="00963F31" w:rsidRPr="00963F31" w:rsidRDefault="00963F31" w:rsidP="00963F31">
      <w:pPr>
        <w:pStyle w:val="Titulo5"/>
        <w:rPr>
          <w:rFonts w:ascii="Arial" w:hAnsi="Arial" w:cs="Arial"/>
        </w:rPr>
      </w:pPr>
      <w:r w:rsidRPr="00963F31">
        <w:rPr>
          <w:rFonts w:ascii="Arial" w:hAnsi="Arial" w:cs="Arial"/>
        </w:rPr>
        <w:t>Como se aprecia, las investigaciones precedentes aportan referentes teóricos acerca de la enfermedad desde el campo médico, no obstante existen pocos materiales investigativos para la atención inclusiva a escolares con manifestaciones de ataxia y que se encuentran en la Enseñanza General.</w:t>
      </w:r>
    </w:p>
    <w:p w:rsidR="00963F31" w:rsidRDefault="00963F31" w:rsidP="00963F31">
      <w:pPr>
        <w:pStyle w:val="Titulo5"/>
        <w:rPr>
          <w:rFonts w:ascii="Arial" w:hAnsi="Arial" w:cs="Arial"/>
        </w:rPr>
      </w:pPr>
      <w:r w:rsidRPr="00963F31">
        <w:rPr>
          <w:rFonts w:ascii="Arial" w:hAnsi="Arial" w:cs="Arial"/>
        </w:rPr>
        <w:t xml:space="preserve">Desde este punto de vista en el presente trabajo se analizan los resultados de una experiencia en la carrera de Educación Especial de la Universidad de Holguín. Se analizan las relaciones necesarias que deben existir entre el Centro de Rehabilitación de Ataxia Provincial, los centros educacionales y los fundamentos teóricos que rigen a la educación inclusiva. </w:t>
      </w:r>
    </w:p>
    <w:p w:rsidR="00963F31" w:rsidRPr="00963F31" w:rsidRDefault="00963F31" w:rsidP="00963F31">
      <w:pPr>
        <w:pStyle w:val="Titulo5"/>
        <w:rPr>
          <w:rFonts w:ascii="Arial" w:hAnsi="Arial" w:cs="Arial"/>
        </w:rPr>
      </w:pPr>
    </w:p>
    <w:p w:rsidR="00445574" w:rsidRPr="00EF227F" w:rsidRDefault="00265B51" w:rsidP="00445574">
      <w:pPr>
        <w:pStyle w:val="Titulo5"/>
        <w:rPr>
          <w:rFonts w:ascii="Arial" w:hAnsi="Arial" w:cs="Arial"/>
          <w:b/>
          <w:lang w:val="es-ES"/>
        </w:rPr>
      </w:pPr>
      <w:r>
        <w:rPr>
          <w:rFonts w:ascii="Arial" w:hAnsi="Arial" w:cs="Arial"/>
          <w:b/>
          <w:lang w:val="es-ES"/>
        </w:rPr>
        <w:t xml:space="preserve">2. </w:t>
      </w:r>
      <w:r w:rsidR="00445574" w:rsidRPr="00EF227F">
        <w:rPr>
          <w:rFonts w:ascii="Arial" w:hAnsi="Arial" w:cs="Arial"/>
          <w:b/>
          <w:lang w:val="es-ES"/>
        </w:rPr>
        <w:t>METODOLOG</w:t>
      </w:r>
      <w:r w:rsidR="000F4E7C">
        <w:rPr>
          <w:rFonts w:ascii="Arial" w:hAnsi="Arial" w:cs="Arial"/>
          <w:b/>
          <w:lang w:val="es-ES"/>
        </w:rPr>
        <w:t>Í</w:t>
      </w:r>
      <w:r w:rsidR="00445574" w:rsidRPr="00EF227F">
        <w:rPr>
          <w:rFonts w:ascii="Arial" w:hAnsi="Arial" w:cs="Arial"/>
          <w:b/>
          <w:lang w:val="es-ES"/>
        </w:rPr>
        <w:t>A</w:t>
      </w:r>
    </w:p>
    <w:p w:rsidR="00AA2D8D" w:rsidRDefault="00AA2D8D" w:rsidP="00445574">
      <w:pPr>
        <w:pStyle w:val="Titulo5"/>
        <w:rPr>
          <w:rFonts w:ascii="Arial" w:hAnsi="Arial" w:cs="Arial"/>
          <w:lang w:val="es-ES"/>
        </w:rPr>
      </w:pPr>
    </w:p>
    <w:p w:rsidR="003E30EB" w:rsidRPr="00494BC2" w:rsidRDefault="00494BC2" w:rsidP="00030F5A">
      <w:pPr>
        <w:pStyle w:val="Titulo5"/>
        <w:rPr>
          <w:rFonts w:ascii="Arial" w:hAnsi="Arial" w:cs="Arial"/>
          <w:lang w:val="es-ES"/>
        </w:rPr>
      </w:pPr>
      <w:r w:rsidRPr="00494BC2">
        <w:rPr>
          <w:rFonts w:ascii="Arial" w:hAnsi="Arial" w:cs="Arial"/>
          <w:lang w:val="es-ES"/>
        </w:rPr>
        <w:t>La investigación se ha realizado mediante la utilización de los siguientes métodos: la observación de los estudiantes en diferentes actividades del proceso pedagógico; entrevista a informantes claves para profundizar en la situación detectada y el análisis y crítica de fuentes, el cual permitió estudiar diversas fuentes relacionadas con la temática.</w:t>
      </w:r>
    </w:p>
    <w:p w:rsidR="00F84D2E" w:rsidRDefault="00494BC2" w:rsidP="00030F5A">
      <w:pPr>
        <w:pStyle w:val="Titulo5"/>
        <w:rPr>
          <w:rFonts w:ascii="Arial" w:hAnsi="Arial" w:cs="Arial"/>
          <w:lang w:val="es-ES"/>
        </w:rPr>
      </w:pPr>
      <w:r w:rsidRPr="00494BC2">
        <w:rPr>
          <w:rFonts w:ascii="Arial" w:hAnsi="Arial" w:cs="Arial"/>
          <w:lang w:val="es-ES"/>
        </w:rPr>
        <w:t>La organización de las acciones parte de una estructura sistémica compuesta de un objetivo general</w:t>
      </w:r>
      <w:r w:rsidR="00F84D2E">
        <w:rPr>
          <w:rFonts w:ascii="Arial" w:hAnsi="Arial" w:cs="Arial"/>
          <w:lang w:val="es-ES"/>
        </w:rPr>
        <w:t xml:space="preserve"> el cual responde a un estudio de caso.</w:t>
      </w:r>
    </w:p>
    <w:p w:rsidR="00F84D2E" w:rsidRDefault="00F84D2E" w:rsidP="00445574">
      <w:pPr>
        <w:pStyle w:val="Titulo5"/>
        <w:rPr>
          <w:rFonts w:ascii="Arial" w:hAnsi="Arial" w:cs="Arial"/>
          <w:b/>
          <w:lang w:val="es-ES"/>
        </w:rPr>
      </w:pPr>
    </w:p>
    <w:p w:rsidR="00445574" w:rsidRDefault="00265B51" w:rsidP="00445574">
      <w:pPr>
        <w:pStyle w:val="Titulo5"/>
        <w:rPr>
          <w:rFonts w:ascii="Arial" w:hAnsi="Arial" w:cs="Arial"/>
          <w:b/>
          <w:lang w:val="es-ES"/>
        </w:rPr>
      </w:pPr>
      <w:r>
        <w:rPr>
          <w:rFonts w:ascii="Arial" w:hAnsi="Arial" w:cs="Arial"/>
          <w:b/>
          <w:lang w:val="es-ES"/>
        </w:rPr>
        <w:t xml:space="preserve">3. </w:t>
      </w:r>
      <w:r w:rsidR="00445574" w:rsidRPr="00445574">
        <w:rPr>
          <w:rFonts w:ascii="Arial" w:hAnsi="Arial" w:cs="Arial"/>
          <w:b/>
          <w:lang w:val="es-ES"/>
        </w:rPr>
        <w:t>RESULTADOS Y DISCUSIÓN</w:t>
      </w:r>
    </w:p>
    <w:p w:rsidR="00F84D2E" w:rsidRPr="00F84D2E" w:rsidRDefault="00F84D2E" w:rsidP="00F84D2E">
      <w:pPr>
        <w:pStyle w:val="Titulo5"/>
        <w:rPr>
          <w:rFonts w:ascii="Arial" w:hAnsi="Arial" w:cs="Arial"/>
          <w:lang w:val="es-ES"/>
        </w:rPr>
      </w:pPr>
      <w:r w:rsidRPr="00F84D2E">
        <w:rPr>
          <w:rFonts w:ascii="Arial" w:hAnsi="Arial" w:cs="Arial"/>
          <w:lang w:val="es-ES"/>
        </w:rPr>
        <w:t>La inclusión educativa es una práctica que ha ocasionado numerosas contradicciones en los diferentes contextos educativos. En su esencia esta la atención a la diversidad es decir poner en práctica el derecho de una educación pertinente y de calidad para todos y que tenga en cuenta las necesidades educativas especiales o sea es la oportunidad para compartir espacios de aprendizaje con personas con diferentes capacidades y discapacidades.</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Para atender a toda la diversidad de escolares la institución escolar debe responsabilizarse con el desarrollo máximo posible de cada educando sin   rechazar   a   nadie   por   razones   de   raza,   sexo,   grupo   social   a   que   pertenece,   nacionalidad, creencia religiosa o capacidad. Esta educación inclusiva se basa fundamentalmente en las líneas que recogen las diferentes legislaciones, simposios, eventos, encuentros o congresos internacionales que han tratado de alguna manera este tema.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Como referencia tenemos: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-La Declaración Universal de los Derechos Humanos (1948, art.1), se defiende que “Todos los seres humanos nacen libres e iguales en dignidad y en derechos”. -La Declaración Universal de los Derechos Humanos (1948, art.26) recoge que “Toda persona tiene derecho a la educación...”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-La Convención sobre los Derechos de la Infancia (1989, art. 23.1) señala la obligación y el compromiso de los Estados con la calidad de vida de los niños y niñas con discapacidad.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-La Convención sobre los Derechos de la Infancia (1989, art. 23.3), se establece el compromiso y la obligación de los Estados en la educación. </w:t>
      </w:r>
    </w:p>
    <w:p w:rsidR="00F84D2E" w:rsidRPr="00F84D2E" w:rsidRDefault="00F84D2E" w:rsidP="00F84D2E">
      <w:pPr>
        <w:pStyle w:val="Titulo5"/>
        <w:rPr>
          <w:rFonts w:ascii="Arial" w:hAnsi="Arial" w:cs="Arial"/>
          <w:lang w:val="es-ES"/>
        </w:rPr>
      </w:pPr>
      <w:r w:rsidRPr="00F84D2E">
        <w:rPr>
          <w:rFonts w:ascii="Arial" w:hAnsi="Arial" w:cs="Arial"/>
          <w:lang w:val="es-ES"/>
        </w:rPr>
        <w:lastRenderedPageBreak/>
        <w:t xml:space="preserve">-En las conclusiones de la Conferencia Mundial sobre Educación para todos (Tailandia, 1990), se lee que “existe un compromiso internacional para satisfacer las necesidades básicas de aprendizaje de todos los individuos, y a universalizar el acceso y promover la equidad”.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 La Conferencia Mundial sobre Necesidades Educativas Especiales (Salamanca, 1994) proclama que todos los niños de ambos sexos tienen un derecho fundamental a la educación, y debe dárseles la oportunidad de alcanzar y mantener un nivel aceptable de conocimientos.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 El Informe de la UNESCO sobre la Educación para el siglo XXI (1996), en un afán por democratizar la educación, propone un nuevo modelo en el que se ofrecen las mismas oportunidades a todos los individuos de una misma comunidad. </w:t>
      </w:r>
    </w:p>
    <w:p w:rsidR="00F84D2E" w:rsidRPr="00F84D2E" w:rsidRDefault="00F84D2E" w:rsidP="00F84D2E">
      <w:pPr>
        <w:pStyle w:val="Titulo5"/>
        <w:rPr>
          <w:rFonts w:ascii="Arial" w:hAnsi="Arial" w:cs="Arial"/>
          <w:lang w:val="es-ES"/>
        </w:rPr>
      </w:pPr>
      <w:r w:rsidRPr="00F84D2E">
        <w:rPr>
          <w:rFonts w:ascii="Arial" w:hAnsi="Arial" w:cs="Arial"/>
          <w:lang w:val="es-ES"/>
        </w:rPr>
        <w:t>-Foro Consultivo Internacional para la Educación para Todos (2000), en Dakar (Senegal). Se intenta poner freno al deterioro y falta de inversiones que caracterizan las políticas educativas en la práctica totalidad de los países del mundo.</w:t>
      </w:r>
    </w:p>
    <w:p w:rsidR="00F84D2E" w:rsidRPr="00F84D2E" w:rsidRDefault="00F84D2E" w:rsidP="00F84D2E">
      <w:pPr>
        <w:pStyle w:val="Titulo5"/>
        <w:rPr>
          <w:rFonts w:ascii="Arial" w:hAnsi="Arial" w:cs="Arial"/>
          <w:lang w:val="es-ES"/>
        </w:rPr>
      </w:pPr>
      <w:r w:rsidRPr="00F84D2E">
        <w:rPr>
          <w:rFonts w:ascii="Arial" w:hAnsi="Arial" w:cs="Arial"/>
          <w:lang w:val="es-ES"/>
        </w:rPr>
        <w:t>De alguna manera en todas ellas se reconoce la necesidad de realizar inversiones en materia educativa para extender la educación básica y así fortalecer la superior, así como la investigación científica y tecnológica, que nos lleve a alcanzar un desarrollo autónomo a todos los países. Reconociendo además la necesidad de dar a las generaciones presentes y venideras una visión ampliada y un renovado compromiso con la educación básica para todos, que expresen el grado y la complejidad del desafío.</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En la actualidad el   concepto   de   inclusión   educativa no está acabado, está en desarrollo, en dependencia de los países y de las diferentes prácticas educativas en que se realicen. Es importante destacar que no se puede asumir posiciones conformistas solo con la inclusión de los alumnos con necesidades educativas en escuelas generales, la inclusión va más allá. Es necesario ver la inclusión en las diferentes esferas de actuación de todos los escolares. La escuela tiene que aceptar esa diversidad de características de los escolares y proponer un accionar educativo en el que sea posible un desarrollo </w:t>
      </w:r>
      <w:r w:rsidR="00192911" w:rsidRPr="00F84D2E">
        <w:rPr>
          <w:rFonts w:ascii="Arial" w:hAnsi="Arial" w:cs="Arial"/>
          <w:lang w:val="es-ES"/>
        </w:rPr>
        <w:t>óptimo</w:t>
      </w:r>
      <w:r w:rsidRPr="00F84D2E">
        <w:rPr>
          <w:rFonts w:ascii="Arial" w:hAnsi="Arial" w:cs="Arial"/>
          <w:lang w:val="es-ES"/>
        </w:rPr>
        <w:t xml:space="preserve"> de todos los alumnos y alumnas.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Para la UNESCO (2005) la educación inclusiva es un proceso orientado a responder a la diversidad de las necesidades de todos los alumnos incrementando su participación en el aprendizaje, las culturas y las comunidades, reduciendo la exclusión en y desde la educación.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Lo anterior implica la realización de cambios y modificaciones en el contenido, accesos, estructuras y estrategias, con una visión que se refiere a todos los escolares y desde la convicción de que es responsabilidad del sistema regular educar a todos y cada uno de ellos. </w:t>
      </w:r>
    </w:p>
    <w:p w:rsidR="00F84D2E" w:rsidRPr="00F84D2E" w:rsidRDefault="00F84D2E" w:rsidP="00F84D2E">
      <w:pPr>
        <w:pStyle w:val="Titulo5"/>
        <w:rPr>
          <w:rFonts w:ascii="Arial" w:hAnsi="Arial" w:cs="Arial"/>
          <w:lang w:val="es-ES"/>
        </w:rPr>
      </w:pPr>
      <w:proofErr w:type="spellStart"/>
      <w:r w:rsidRPr="00F84D2E">
        <w:rPr>
          <w:rFonts w:ascii="Arial" w:hAnsi="Arial" w:cs="Arial"/>
          <w:lang w:val="es-ES"/>
        </w:rPr>
        <w:t>Ainscow</w:t>
      </w:r>
      <w:proofErr w:type="spellEnd"/>
      <w:r w:rsidRPr="00F84D2E">
        <w:rPr>
          <w:rFonts w:ascii="Arial" w:hAnsi="Arial" w:cs="Arial"/>
          <w:lang w:val="es-ES"/>
        </w:rPr>
        <w:t xml:space="preserve"> (2003) identifica cuatro elementos cuya presencia es recurrente en todas las definiciones de educación inclusiva, que son: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-La inclusión es un proceso. Es decir, no se trata simplemente de una cuestión de fijación y logro de determinados objetivos y asunto terminado. En la práctica la labor nunca finaliza. La inclusión debe ser considerada como una búsqueda interminable de formas más adecuadas de responder a la diversidad.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-La inclusión se centra en la identificación y eliminación de barreras. Supone la recopilación y evaluación de la información de fuentes muy diversas con el objeto de planificar mejoras en las políticas y las prácticas inclusivas.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-La inclusión es asistencia, participación y rendimiento de todos los alumnos. Se refiere al lugar en donde los alumnos aprenden, a la calidad de las experiencias de los alumnos cuando se encuentran en la escuela y a los resultados escolares de los alumnos a lo largo del programa escolar.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-La inclusión pone una atención especiaren aquellos grupos de alumnos en peligro de ser marginados, excluidos con riesgo de no alcanzar un rendimiento óptimo.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En Cuba se han dado grandes pasos de avances en el proceso de inclusión educativa. Para Borges S.  (2013), la inclusión educativa es entendida como una concepción que reconoce el derecho a todos a una educación de calidad, independientemente de sus particularidades y características que condicionan las variabilidades en su desarrollo y que propicie su integración a la sociedad como individuos plenos  en condiciones de poder disfrutar las posibilidades que ella ofrece y contribuir a su perfeccionamiento.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Para  el sistema educativo cubano asumir la educación inclusiva ha implicado  en primer lugar; aceptar que la diversidad  es la norma; pues según expresa López ,R. (2002) por ser diferentes aprendemos de manera diferente con diferente ritmo y calidad, incluso  algunos  podemos  tener  limitaciones  o  desventajas  por  múltiples  causas (orgánico-constitucionales,  fisiológicas,  socio-culturales),  por  lo  </w:t>
      </w:r>
      <w:r w:rsidRPr="00F84D2E">
        <w:rPr>
          <w:rFonts w:ascii="Arial" w:hAnsi="Arial" w:cs="Arial"/>
          <w:lang w:val="es-ES"/>
        </w:rPr>
        <w:lastRenderedPageBreak/>
        <w:t>que  aprendemos más lentamente, con ciertas dificultades y necesitamos más ayudas, pero eso no disminuye en nada nuestra condición de seres humanos, ni niega la posibilidad de aprender  y  acceder  al  desarrollo.</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Para la aplicación de la propuesta tuvimos en cuenta las características de la educación inclusiva: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•La construcción de una comunidad educativa es un referente clave desde los modelos comunitarios y socioculturales, de acuerdo con </w:t>
      </w:r>
      <w:proofErr w:type="spellStart"/>
      <w:r w:rsidRPr="00F84D2E">
        <w:rPr>
          <w:rFonts w:ascii="Arial" w:hAnsi="Arial" w:cs="Arial"/>
          <w:lang w:val="es-ES"/>
        </w:rPr>
        <w:t>Barton</w:t>
      </w:r>
      <w:proofErr w:type="spellEnd"/>
      <w:r w:rsidRPr="00F84D2E">
        <w:rPr>
          <w:rFonts w:ascii="Arial" w:hAnsi="Arial" w:cs="Arial"/>
          <w:lang w:val="es-ES"/>
        </w:rPr>
        <w:t xml:space="preserve"> (1998).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•Escuela flexible en su currículo, evaluación, promoción y organización.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•Atención a la diversidad de intereses, capacidades, ritmos y necesidades de aprendizaje del alumno.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•Metodológicamente centrada en las características del alumno, no en los contenidos, facilitando la diversificación de la enseñanza y personalización de las experiencias de aprendizajes comunes.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•Promulga los valores de: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 Humanización. Favorece el máximo desarrollo de las capacidades de cada individuo.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 Libertad. </w:t>
      </w:r>
    </w:p>
    <w:p w:rsidR="00F84D2E" w:rsidRPr="00F84D2E" w:rsidRDefault="00F84D2E" w:rsidP="00F84D2E">
      <w:pPr>
        <w:pStyle w:val="Titulo5"/>
        <w:rPr>
          <w:rFonts w:ascii="Arial" w:hAnsi="Arial" w:cs="Arial"/>
          <w:lang w:val="es-ES"/>
        </w:rPr>
      </w:pPr>
      <w:r w:rsidRPr="00F84D2E">
        <w:rPr>
          <w:rFonts w:ascii="Arial" w:hAnsi="Arial" w:cs="Arial"/>
          <w:lang w:val="es-ES"/>
        </w:rPr>
        <w:t>- Principio de normalización</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 Democracia. Defiende la igualdad de oportunidades para todos, sea cual sea su condición social, económica, cultural o sexual.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 Justicia. A cada uno se le intenta dar lo que necesita. </w:t>
      </w:r>
    </w:p>
    <w:p w:rsidR="00F84D2E" w:rsidRPr="00F84D2E" w:rsidRDefault="00F84D2E" w:rsidP="00F84D2E">
      <w:pPr>
        <w:pStyle w:val="Titulo5"/>
        <w:rPr>
          <w:rFonts w:ascii="Arial" w:hAnsi="Arial" w:cs="Arial"/>
          <w:lang w:val="es-ES"/>
        </w:rPr>
      </w:pPr>
      <w:r w:rsidRPr="00F84D2E">
        <w:rPr>
          <w:rFonts w:ascii="Arial" w:hAnsi="Arial" w:cs="Arial"/>
          <w:lang w:val="es-ES"/>
        </w:rPr>
        <w:t xml:space="preserve">•Se da gran importancia a la participación de los padres y de la comunidad en las actividades de la escuela, en el apoyo de determinados aprendizajes y en el control de los progresos de sus hijos. </w:t>
      </w:r>
    </w:p>
    <w:p w:rsidR="00F84D2E" w:rsidRDefault="00F84D2E" w:rsidP="00F84D2E">
      <w:pPr>
        <w:pStyle w:val="Titulo5"/>
        <w:rPr>
          <w:rFonts w:ascii="Arial" w:hAnsi="Arial" w:cs="Arial"/>
          <w:lang w:val="es-ES"/>
        </w:rPr>
      </w:pPr>
      <w:r w:rsidRPr="00F84D2E">
        <w:rPr>
          <w:rFonts w:ascii="Arial" w:hAnsi="Arial" w:cs="Arial"/>
          <w:lang w:val="es-ES"/>
        </w:rPr>
        <w:t>•Se insiste en la participación de todos los miembros de la comunidad educativa, profesores, padres y alumnos, así como en la participación de los miembros de la administración y servicios de la escuela, sin exclusión. Una participación activa que va más allá de su presencia. Se parte del supuesto de que todos los alumnos pertenecen al grupo y todos pueden aprender en la vida normal de la escuela y de la comunidad</w:t>
      </w:r>
      <w:r w:rsidR="00192911">
        <w:rPr>
          <w:rFonts w:ascii="Arial" w:hAnsi="Arial" w:cs="Arial"/>
          <w:lang w:val="es-ES"/>
        </w:rPr>
        <w:t xml:space="preserve">. </w:t>
      </w:r>
    </w:p>
    <w:p w:rsidR="00445574" w:rsidRDefault="00192911" w:rsidP="00445574">
      <w:pPr>
        <w:pStyle w:val="Titulo5"/>
        <w:rPr>
          <w:rFonts w:ascii="Arial" w:hAnsi="Arial" w:cs="Arial"/>
          <w:lang w:val="es-ES"/>
        </w:rPr>
      </w:pPr>
      <w:r>
        <w:rPr>
          <w:rFonts w:ascii="Arial" w:hAnsi="Arial" w:cs="Arial"/>
          <w:lang w:val="es-ES"/>
        </w:rPr>
        <w:t>Es por ello que se debe trabajar en el ámbito de todas aquellas posibles enfermedades o discapacidades que puedan limitar la inclusión de los escolares y frene su total desarrollo tal es el caso de la presencia de manifestaciones de la ataxia.</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El término Ataxia se refiere a un estado patológico de la coordinación de los movimientos. Se utiliza para describir un trastorno de la marcha que se manifiesta por inestabilidad, incoordinación aumento de la base de sustentación. Es una difusión a nivel del cerebelo y sus vías, así como alteraciones de la medula espinal, nervios periféricos o una combinación de estas tres condiciones. El conocimiento científico sobre las ataxias hereditarias tránsito por diferentes etapas desde las primeras observaciones clínicas, morfológicas del siglo XIX, hasta los más novedosos descubrimientos de la década del 90, relacionadas con la identificación de nuevos genes, caracterización de las mutaciones dinámicas en modelos de animales transgénicos, lo que contribuyó a la profundización de conocimientos fisiopatológicos de esta entidad.</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Según la Organización Mundial de la Salud existen más de 30 tipos de ataxia. Según la edad en el inicio de las ataxias hereditarias, estas suelan clasificarse en dos grupos: las de inicio temprano y las </w:t>
      </w:r>
      <w:proofErr w:type="spellStart"/>
      <w:r w:rsidRPr="00C30287">
        <w:rPr>
          <w:rFonts w:ascii="Arial" w:eastAsia="Times New Roman" w:hAnsi="Arial" w:cs="Arial"/>
          <w:sz w:val="20"/>
          <w:szCs w:val="20"/>
          <w:lang w:eastAsia="es-ES"/>
        </w:rPr>
        <w:t>tardías.La</w:t>
      </w:r>
      <w:proofErr w:type="spellEnd"/>
      <w:r w:rsidRPr="00C30287">
        <w:rPr>
          <w:rFonts w:ascii="Arial" w:eastAsia="Times New Roman" w:hAnsi="Arial" w:cs="Arial"/>
          <w:sz w:val="20"/>
          <w:szCs w:val="20"/>
          <w:lang w:eastAsia="es-ES"/>
        </w:rPr>
        <w:t xml:space="preserve"> clasificación de las ataxias hereditarias autosómicas dominantes de tipo SCA ha transitado por diferentes etapas, pero no fue hasta el desarrollo de la ¨Era Genómica ¨, en la década de los 90, cuando realmente se pudo establecer una verdadera y objetiva clasificación. Esta se basa en aspectos moleculares, en dependencia de la mutación o del gen que las originan. La heterogeneidad genética de las ataxias autosómicas dominantes sugiere que, por lo menos, faltan por identificar 20% de la etiología molecular de estas.</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Entre 1992 y 1994 se identificaron por </w:t>
      </w:r>
      <w:proofErr w:type="spellStart"/>
      <w:r w:rsidRPr="00C30287">
        <w:rPr>
          <w:rFonts w:ascii="Arial" w:eastAsia="Times New Roman" w:hAnsi="Arial" w:cs="Arial"/>
          <w:sz w:val="20"/>
          <w:szCs w:val="20"/>
          <w:lang w:eastAsia="es-ES"/>
        </w:rPr>
        <w:t>Kawuaguchi</w:t>
      </w:r>
      <w:proofErr w:type="spellEnd"/>
      <w:r w:rsidRPr="00C30287">
        <w:rPr>
          <w:rFonts w:ascii="Arial" w:eastAsia="Times New Roman" w:hAnsi="Arial" w:cs="Arial"/>
          <w:sz w:val="20"/>
          <w:szCs w:val="20"/>
          <w:lang w:eastAsia="es-ES"/>
        </w:rPr>
        <w:t xml:space="preserve"> y </w:t>
      </w:r>
      <w:proofErr w:type="spellStart"/>
      <w:r w:rsidRPr="00C30287">
        <w:rPr>
          <w:rFonts w:ascii="Arial" w:eastAsia="Times New Roman" w:hAnsi="Arial" w:cs="Arial"/>
          <w:sz w:val="20"/>
          <w:szCs w:val="20"/>
          <w:lang w:eastAsia="es-ES"/>
        </w:rPr>
        <w:t>Orr</w:t>
      </w:r>
      <w:proofErr w:type="spellEnd"/>
      <w:r w:rsidRPr="00C30287">
        <w:rPr>
          <w:rFonts w:ascii="Arial" w:eastAsia="Times New Roman" w:hAnsi="Arial" w:cs="Arial"/>
          <w:sz w:val="20"/>
          <w:szCs w:val="20"/>
          <w:lang w:eastAsia="es-ES"/>
        </w:rPr>
        <w:t xml:space="preserve"> </w:t>
      </w:r>
      <w:proofErr w:type="spellStart"/>
      <w:r w:rsidRPr="00C30287">
        <w:rPr>
          <w:rFonts w:ascii="Arial" w:eastAsia="Times New Roman" w:hAnsi="Arial" w:cs="Arial"/>
          <w:sz w:val="20"/>
          <w:szCs w:val="20"/>
          <w:lang w:eastAsia="es-ES"/>
        </w:rPr>
        <w:t>laS</w:t>
      </w:r>
      <w:proofErr w:type="spellEnd"/>
      <w:r w:rsidRPr="00C30287">
        <w:rPr>
          <w:rFonts w:ascii="Arial" w:eastAsia="Times New Roman" w:hAnsi="Arial" w:cs="Arial"/>
          <w:sz w:val="20"/>
          <w:szCs w:val="20"/>
          <w:lang w:eastAsia="es-ES"/>
        </w:rPr>
        <w:t xml:space="preserve"> mutaciones de estos 2 tipos de ataxia </w:t>
      </w:r>
      <w:proofErr w:type="spellStart"/>
      <w:r w:rsidRPr="00C30287">
        <w:rPr>
          <w:rFonts w:ascii="Arial" w:eastAsia="Times New Roman" w:hAnsi="Arial" w:cs="Arial"/>
          <w:sz w:val="20"/>
          <w:szCs w:val="20"/>
          <w:lang w:eastAsia="es-ES"/>
        </w:rPr>
        <w:t>espinocerebelosas</w:t>
      </w:r>
      <w:proofErr w:type="spellEnd"/>
      <w:r w:rsidRPr="00C30287">
        <w:rPr>
          <w:rFonts w:ascii="Arial" w:eastAsia="Times New Roman" w:hAnsi="Arial" w:cs="Arial"/>
          <w:sz w:val="20"/>
          <w:szCs w:val="20"/>
          <w:lang w:eastAsia="es-ES"/>
        </w:rPr>
        <w:t xml:space="preserve"> </w:t>
      </w:r>
      <w:r w:rsidR="00C74957" w:rsidRPr="00C30287">
        <w:rPr>
          <w:rFonts w:ascii="Arial" w:eastAsia="Times New Roman" w:hAnsi="Arial" w:cs="Arial"/>
          <w:sz w:val="20"/>
          <w:szCs w:val="20"/>
          <w:lang w:eastAsia="es-ES"/>
        </w:rPr>
        <w:t>(SCA1</w:t>
      </w:r>
      <w:r w:rsidRPr="00C30287">
        <w:rPr>
          <w:rFonts w:ascii="Arial" w:eastAsia="Times New Roman" w:hAnsi="Arial" w:cs="Arial"/>
          <w:sz w:val="20"/>
          <w:szCs w:val="20"/>
          <w:lang w:eastAsia="es-ES"/>
        </w:rPr>
        <w:t xml:space="preserve"> y SCA3 / </w:t>
      </w:r>
      <w:r w:rsidR="00C74957" w:rsidRPr="00C30287">
        <w:rPr>
          <w:rFonts w:ascii="Arial" w:eastAsia="Times New Roman" w:hAnsi="Arial" w:cs="Arial"/>
          <w:sz w:val="20"/>
          <w:szCs w:val="20"/>
          <w:lang w:eastAsia="es-ES"/>
        </w:rPr>
        <w:t>MJD)</w:t>
      </w:r>
      <w:r w:rsidRPr="00C30287">
        <w:rPr>
          <w:rFonts w:ascii="Arial" w:eastAsia="Times New Roman" w:hAnsi="Arial" w:cs="Arial"/>
          <w:sz w:val="20"/>
          <w:szCs w:val="20"/>
          <w:lang w:eastAsia="es-ES"/>
        </w:rPr>
        <w:t xml:space="preserve">. En noviembre de 1996 se </w:t>
      </w:r>
      <w:r w:rsidR="00C74957" w:rsidRPr="00C30287">
        <w:rPr>
          <w:rFonts w:ascii="Arial" w:eastAsia="Times New Roman" w:hAnsi="Arial" w:cs="Arial"/>
          <w:sz w:val="20"/>
          <w:szCs w:val="20"/>
          <w:lang w:eastAsia="es-ES"/>
        </w:rPr>
        <w:t>publicó</w:t>
      </w:r>
      <w:r w:rsidRPr="00C30287">
        <w:rPr>
          <w:rFonts w:ascii="Arial" w:eastAsia="Times New Roman" w:hAnsi="Arial" w:cs="Arial"/>
          <w:sz w:val="20"/>
          <w:szCs w:val="20"/>
          <w:lang w:eastAsia="es-ES"/>
        </w:rPr>
        <w:t xml:space="preserve"> el locus del gen productor de la ataxia </w:t>
      </w:r>
      <w:proofErr w:type="spellStart"/>
      <w:r w:rsidRPr="00C30287">
        <w:rPr>
          <w:rFonts w:ascii="Arial" w:eastAsia="Times New Roman" w:hAnsi="Arial" w:cs="Arial"/>
          <w:sz w:val="20"/>
          <w:szCs w:val="20"/>
          <w:lang w:eastAsia="es-ES"/>
        </w:rPr>
        <w:t>espinocerebelosa</w:t>
      </w:r>
      <w:proofErr w:type="spellEnd"/>
      <w:r w:rsidRPr="00C30287">
        <w:rPr>
          <w:rFonts w:ascii="Arial" w:eastAsia="Times New Roman" w:hAnsi="Arial" w:cs="Arial"/>
          <w:sz w:val="20"/>
          <w:szCs w:val="20"/>
          <w:lang w:eastAsia="es-ES"/>
        </w:rPr>
        <w:t xml:space="preserve"> tipo 2, así como la mutación </w:t>
      </w:r>
      <w:proofErr w:type="spellStart"/>
      <w:r w:rsidRPr="00C30287">
        <w:rPr>
          <w:rFonts w:ascii="Arial" w:eastAsia="Times New Roman" w:hAnsi="Arial" w:cs="Arial"/>
          <w:sz w:val="20"/>
          <w:szCs w:val="20"/>
          <w:lang w:eastAsia="es-ES"/>
        </w:rPr>
        <w:t>genica</w:t>
      </w:r>
      <w:proofErr w:type="spellEnd"/>
      <w:r w:rsidRPr="00C30287">
        <w:rPr>
          <w:rFonts w:ascii="Arial" w:eastAsia="Times New Roman" w:hAnsi="Arial" w:cs="Arial"/>
          <w:sz w:val="20"/>
          <w:szCs w:val="20"/>
          <w:lang w:eastAsia="es-ES"/>
        </w:rPr>
        <w:t xml:space="preserve">, que </w:t>
      </w:r>
      <w:proofErr w:type="spellStart"/>
      <w:r w:rsidRPr="00C30287">
        <w:rPr>
          <w:rFonts w:ascii="Arial" w:eastAsia="Times New Roman" w:hAnsi="Arial" w:cs="Arial"/>
          <w:sz w:val="20"/>
          <w:szCs w:val="20"/>
          <w:lang w:eastAsia="es-ES"/>
        </w:rPr>
        <w:t>consistio</w:t>
      </w:r>
      <w:proofErr w:type="spellEnd"/>
      <w:r w:rsidRPr="00C30287">
        <w:rPr>
          <w:rFonts w:ascii="Arial" w:eastAsia="Times New Roman" w:hAnsi="Arial" w:cs="Arial"/>
          <w:sz w:val="20"/>
          <w:szCs w:val="20"/>
          <w:lang w:eastAsia="es-ES"/>
        </w:rPr>
        <w:t xml:space="preserve"> en la </w:t>
      </w:r>
      <w:proofErr w:type="spellStart"/>
      <w:r w:rsidRPr="00C30287">
        <w:rPr>
          <w:rFonts w:ascii="Arial" w:eastAsia="Times New Roman" w:hAnsi="Arial" w:cs="Arial"/>
          <w:sz w:val="20"/>
          <w:szCs w:val="20"/>
          <w:lang w:eastAsia="es-ES"/>
        </w:rPr>
        <w:t>expanción</w:t>
      </w:r>
      <w:proofErr w:type="spellEnd"/>
      <w:r w:rsidRPr="00C30287">
        <w:rPr>
          <w:rFonts w:ascii="Arial" w:eastAsia="Times New Roman" w:hAnsi="Arial" w:cs="Arial"/>
          <w:sz w:val="20"/>
          <w:szCs w:val="20"/>
          <w:lang w:eastAsia="es-ES"/>
        </w:rPr>
        <w:t xml:space="preserve"> del </w:t>
      </w:r>
      <w:proofErr w:type="spellStart"/>
      <w:r w:rsidRPr="00C30287">
        <w:rPr>
          <w:rFonts w:ascii="Arial" w:eastAsia="Times New Roman" w:hAnsi="Arial" w:cs="Arial"/>
          <w:sz w:val="20"/>
          <w:szCs w:val="20"/>
          <w:lang w:eastAsia="es-ES"/>
        </w:rPr>
        <w:t>trinucleotido</w:t>
      </w:r>
      <w:proofErr w:type="spellEnd"/>
      <w:r w:rsidRPr="00C30287">
        <w:rPr>
          <w:rFonts w:ascii="Arial" w:eastAsia="Times New Roman" w:hAnsi="Arial" w:cs="Arial"/>
          <w:sz w:val="20"/>
          <w:szCs w:val="20"/>
          <w:lang w:eastAsia="es-ES"/>
        </w:rPr>
        <w:t xml:space="preserve"> CAG.</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El Dr. Rafael Estrada realizo las primeras observaciones en Cuba, sobre la alta cantidad de enfermos con ataxias hereditarias en las regiones orientales del </w:t>
      </w:r>
      <w:proofErr w:type="spellStart"/>
      <w:r w:rsidRPr="00C30287">
        <w:rPr>
          <w:rFonts w:ascii="Arial" w:eastAsia="Times New Roman" w:hAnsi="Arial" w:cs="Arial"/>
          <w:sz w:val="20"/>
          <w:szCs w:val="20"/>
          <w:lang w:eastAsia="es-ES"/>
        </w:rPr>
        <w:t>pais</w:t>
      </w:r>
      <w:proofErr w:type="spellEnd"/>
      <w:r w:rsidRPr="00C30287">
        <w:rPr>
          <w:rFonts w:ascii="Arial" w:eastAsia="Times New Roman" w:hAnsi="Arial" w:cs="Arial"/>
          <w:sz w:val="20"/>
          <w:szCs w:val="20"/>
          <w:lang w:eastAsia="es-ES"/>
        </w:rPr>
        <w:t xml:space="preserve">. En el año 1970, Valles estudio de forma descriptiva 72 familias con 11505 miembros y encontró 706 enfermos vivos, de ellos 526 con enfermedades </w:t>
      </w:r>
      <w:proofErr w:type="spellStart"/>
      <w:r w:rsidRPr="00C30287">
        <w:rPr>
          <w:rFonts w:ascii="Arial" w:eastAsia="Times New Roman" w:hAnsi="Arial" w:cs="Arial"/>
          <w:sz w:val="20"/>
          <w:szCs w:val="20"/>
          <w:lang w:eastAsia="es-ES"/>
        </w:rPr>
        <w:t>Heredodegenerativas</w:t>
      </w:r>
      <w:proofErr w:type="spellEnd"/>
      <w:r w:rsidRPr="00C30287">
        <w:rPr>
          <w:rFonts w:ascii="Arial" w:eastAsia="Times New Roman" w:hAnsi="Arial" w:cs="Arial"/>
          <w:sz w:val="20"/>
          <w:szCs w:val="20"/>
          <w:lang w:eastAsia="es-ES"/>
        </w:rPr>
        <w:t xml:space="preserve"> </w:t>
      </w:r>
      <w:proofErr w:type="spellStart"/>
      <w:r w:rsidRPr="00C30287">
        <w:rPr>
          <w:rFonts w:ascii="Arial" w:eastAsia="Times New Roman" w:hAnsi="Arial" w:cs="Arial"/>
          <w:sz w:val="20"/>
          <w:szCs w:val="20"/>
          <w:lang w:eastAsia="es-ES"/>
        </w:rPr>
        <w:t>Espinocerebelosas</w:t>
      </w:r>
      <w:proofErr w:type="spellEnd"/>
      <w:r w:rsidRPr="00C30287">
        <w:rPr>
          <w:rFonts w:ascii="Arial" w:eastAsia="Times New Roman" w:hAnsi="Arial" w:cs="Arial"/>
          <w:sz w:val="20"/>
          <w:szCs w:val="20"/>
          <w:lang w:eastAsia="es-ES"/>
        </w:rPr>
        <w:t>.</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lastRenderedPageBreak/>
        <w:t xml:space="preserve">En 1990, Orozco estudio a 263 pacientes de la provincia de Holguín con ataxia </w:t>
      </w:r>
      <w:proofErr w:type="spellStart"/>
      <w:r w:rsidRPr="00C30287">
        <w:rPr>
          <w:rFonts w:ascii="Arial" w:eastAsia="Times New Roman" w:hAnsi="Arial" w:cs="Arial"/>
          <w:sz w:val="20"/>
          <w:szCs w:val="20"/>
          <w:lang w:eastAsia="es-ES"/>
        </w:rPr>
        <w:t>cerebelosa</w:t>
      </w:r>
      <w:proofErr w:type="spellEnd"/>
      <w:r w:rsidRPr="00C30287">
        <w:rPr>
          <w:rFonts w:ascii="Arial" w:eastAsia="Times New Roman" w:hAnsi="Arial" w:cs="Arial"/>
          <w:sz w:val="20"/>
          <w:szCs w:val="20"/>
          <w:lang w:eastAsia="es-ES"/>
        </w:rPr>
        <w:t xml:space="preserve"> autosómica dominante. Los criterios diagnósticos fueron la ataxia de la marcha, disartria, </w:t>
      </w:r>
      <w:proofErr w:type="spellStart"/>
      <w:r w:rsidRPr="00C30287">
        <w:rPr>
          <w:rFonts w:ascii="Arial" w:eastAsia="Times New Roman" w:hAnsi="Arial" w:cs="Arial"/>
          <w:sz w:val="20"/>
          <w:szCs w:val="20"/>
          <w:lang w:eastAsia="es-ES"/>
        </w:rPr>
        <w:t>dismetria</w:t>
      </w:r>
      <w:proofErr w:type="spellEnd"/>
      <w:r w:rsidRPr="00C30287">
        <w:rPr>
          <w:rFonts w:ascii="Arial" w:eastAsia="Times New Roman" w:hAnsi="Arial" w:cs="Arial"/>
          <w:sz w:val="20"/>
          <w:szCs w:val="20"/>
          <w:lang w:eastAsia="es-ES"/>
        </w:rPr>
        <w:t xml:space="preserve"> y la </w:t>
      </w:r>
      <w:proofErr w:type="spellStart"/>
      <w:r w:rsidRPr="00C30287">
        <w:rPr>
          <w:rFonts w:ascii="Arial" w:eastAsia="Times New Roman" w:hAnsi="Arial" w:cs="Arial"/>
          <w:sz w:val="20"/>
          <w:szCs w:val="20"/>
          <w:lang w:eastAsia="es-ES"/>
        </w:rPr>
        <w:t>adiadococinesia</w:t>
      </w:r>
      <w:proofErr w:type="spellEnd"/>
      <w:r w:rsidRPr="00C30287">
        <w:rPr>
          <w:rFonts w:ascii="Arial" w:eastAsia="Times New Roman" w:hAnsi="Arial" w:cs="Arial"/>
          <w:sz w:val="20"/>
          <w:szCs w:val="20"/>
          <w:lang w:eastAsia="es-ES"/>
        </w:rPr>
        <w:t xml:space="preserve">. En 1993, a partir de un estudio genético molecular realizado por </w:t>
      </w:r>
      <w:proofErr w:type="spellStart"/>
      <w:r w:rsidRPr="00C30287">
        <w:rPr>
          <w:rFonts w:ascii="Arial" w:eastAsia="Times New Roman" w:hAnsi="Arial" w:cs="Arial"/>
          <w:sz w:val="20"/>
          <w:szCs w:val="20"/>
          <w:lang w:eastAsia="es-ES"/>
        </w:rPr>
        <w:t>Gispert</w:t>
      </w:r>
      <w:proofErr w:type="spellEnd"/>
      <w:r w:rsidRPr="00C30287">
        <w:rPr>
          <w:rFonts w:ascii="Arial" w:eastAsia="Times New Roman" w:hAnsi="Arial" w:cs="Arial"/>
          <w:sz w:val="20"/>
          <w:szCs w:val="20"/>
          <w:lang w:eastAsia="es-ES"/>
        </w:rPr>
        <w:t xml:space="preserve">, en familias holguineras, se </w:t>
      </w:r>
      <w:r w:rsidR="00C74957" w:rsidRPr="00C30287">
        <w:rPr>
          <w:rFonts w:ascii="Arial" w:eastAsia="Times New Roman" w:hAnsi="Arial" w:cs="Arial"/>
          <w:sz w:val="20"/>
          <w:szCs w:val="20"/>
          <w:lang w:eastAsia="es-ES"/>
        </w:rPr>
        <w:t>publicó</w:t>
      </w:r>
      <w:r w:rsidRPr="00C30287">
        <w:rPr>
          <w:rFonts w:ascii="Arial" w:eastAsia="Times New Roman" w:hAnsi="Arial" w:cs="Arial"/>
          <w:sz w:val="20"/>
          <w:szCs w:val="20"/>
          <w:lang w:eastAsia="es-ES"/>
        </w:rPr>
        <w:t xml:space="preserve"> el descubrimiento del cromosoma de esta enfermedad. Esta forma de ataxia se </w:t>
      </w:r>
      <w:r w:rsidR="00C74957" w:rsidRPr="00C30287">
        <w:rPr>
          <w:rFonts w:ascii="Arial" w:eastAsia="Times New Roman" w:hAnsi="Arial" w:cs="Arial"/>
          <w:sz w:val="20"/>
          <w:szCs w:val="20"/>
          <w:lang w:eastAsia="es-ES"/>
        </w:rPr>
        <w:t>designó</w:t>
      </w:r>
      <w:r w:rsidRPr="00C30287">
        <w:rPr>
          <w:rFonts w:ascii="Arial" w:eastAsia="Times New Roman" w:hAnsi="Arial" w:cs="Arial"/>
          <w:sz w:val="20"/>
          <w:szCs w:val="20"/>
          <w:lang w:eastAsia="es-ES"/>
        </w:rPr>
        <w:t xml:space="preserve"> como Ataxia </w:t>
      </w:r>
      <w:proofErr w:type="spellStart"/>
      <w:r w:rsidRPr="00C30287">
        <w:rPr>
          <w:rFonts w:ascii="Arial" w:eastAsia="Times New Roman" w:hAnsi="Arial" w:cs="Arial"/>
          <w:sz w:val="20"/>
          <w:szCs w:val="20"/>
          <w:lang w:eastAsia="es-ES"/>
        </w:rPr>
        <w:t>Espinocerebelosa</w:t>
      </w:r>
      <w:proofErr w:type="spellEnd"/>
      <w:r w:rsidRPr="00C30287">
        <w:rPr>
          <w:rFonts w:ascii="Arial" w:eastAsia="Times New Roman" w:hAnsi="Arial" w:cs="Arial"/>
          <w:sz w:val="20"/>
          <w:szCs w:val="20"/>
          <w:lang w:eastAsia="es-ES"/>
        </w:rPr>
        <w:t xml:space="preserve"> tipo2 (SCA2). En 1995 </w:t>
      </w:r>
      <w:proofErr w:type="spellStart"/>
      <w:r w:rsidRPr="00C30287">
        <w:rPr>
          <w:rFonts w:ascii="Arial" w:eastAsia="Times New Roman" w:hAnsi="Arial" w:cs="Arial"/>
          <w:sz w:val="20"/>
          <w:szCs w:val="20"/>
          <w:lang w:eastAsia="es-ES"/>
        </w:rPr>
        <w:t>Gispert</w:t>
      </w:r>
      <w:proofErr w:type="spellEnd"/>
      <w:r w:rsidRPr="00C30287">
        <w:rPr>
          <w:rFonts w:ascii="Arial" w:eastAsia="Times New Roman" w:hAnsi="Arial" w:cs="Arial"/>
          <w:sz w:val="20"/>
          <w:szCs w:val="20"/>
          <w:lang w:eastAsia="es-ES"/>
        </w:rPr>
        <w:t xml:space="preserve"> logro reducir la región candidata del gen a 1cM, lo que facilito el posterior descubrimiento de la mutación en el año 1996.</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En la presente investigación se asume el concepto de ataxia del Dr. Cs. Luis Velázquez Pérez (2006), define que el termino de ataxia se refiere a un estado patológico de la coordinación de los movimientos. Se utiliza para describir un trastorno de la marcha que se manifiesta por inestabilidad, incoordinación y aumento de la base de sustentación. Resulta de una disfunción a nivel del cerebelo y / o sus vías, así como de alteraciones en la medula espinal, nervios periféricos o una combinación de estas tres condiciones.</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Así pues, a continuación exponemos algunos de los síntomas más frecuentes </w:t>
      </w:r>
      <w:r w:rsidR="00C74957" w:rsidRPr="00C30287">
        <w:rPr>
          <w:rFonts w:ascii="Arial" w:eastAsia="Times New Roman" w:hAnsi="Arial" w:cs="Arial"/>
          <w:sz w:val="20"/>
          <w:szCs w:val="20"/>
          <w:lang w:eastAsia="es-ES"/>
        </w:rPr>
        <w:t>en la</w:t>
      </w:r>
      <w:r w:rsidRPr="00C30287">
        <w:rPr>
          <w:rFonts w:ascii="Arial" w:eastAsia="Times New Roman" w:hAnsi="Arial" w:cs="Arial"/>
          <w:sz w:val="20"/>
          <w:szCs w:val="20"/>
          <w:lang w:eastAsia="es-ES"/>
        </w:rPr>
        <w:t xml:space="preserve"> ataxia en el orden en que además suelen presentarse: </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  Dismetría: incapacidad para controlar la extensión del movimiento. </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  </w:t>
      </w:r>
      <w:proofErr w:type="spellStart"/>
      <w:r w:rsidRPr="00C30287">
        <w:rPr>
          <w:rFonts w:ascii="Arial" w:eastAsia="Times New Roman" w:hAnsi="Arial" w:cs="Arial"/>
          <w:sz w:val="20"/>
          <w:szCs w:val="20"/>
          <w:lang w:eastAsia="es-ES"/>
        </w:rPr>
        <w:t>Adiadococinesia</w:t>
      </w:r>
      <w:proofErr w:type="spellEnd"/>
      <w:r w:rsidRPr="00C30287">
        <w:rPr>
          <w:rFonts w:ascii="Arial" w:eastAsia="Times New Roman" w:hAnsi="Arial" w:cs="Arial"/>
          <w:sz w:val="20"/>
          <w:szCs w:val="20"/>
          <w:lang w:eastAsia="es-ES"/>
        </w:rPr>
        <w:t xml:space="preserve">: incapacidad para realizar movimientos alternantes rápidos. </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  Hipotonía: disminución del tono muscular. </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w:t>
      </w:r>
      <w:r w:rsidR="00C74957" w:rsidRPr="00C30287">
        <w:rPr>
          <w:rFonts w:ascii="Arial" w:eastAsia="Times New Roman" w:hAnsi="Arial" w:cs="Arial"/>
          <w:sz w:val="20"/>
          <w:szCs w:val="20"/>
          <w:lang w:eastAsia="es-ES"/>
        </w:rPr>
        <w:t>Descomposición del movimiento</w:t>
      </w:r>
      <w:r w:rsidRPr="00C30287">
        <w:rPr>
          <w:rFonts w:ascii="Arial" w:eastAsia="Times New Roman" w:hAnsi="Arial" w:cs="Arial"/>
          <w:sz w:val="20"/>
          <w:szCs w:val="20"/>
          <w:lang w:eastAsia="es-ES"/>
        </w:rPr>
        <w:t xml:space="preserve">: </w:t>
      </w:r>
      <w:r w:rsidR="00C74957" w:rsidRPr="00C30287">
        <w:rPr>
          <w:rFonts w:ascii="Arial" w:eastAsia="Times New Roman" w:hAnsi="Arial" w:cs="Arial"/>
          <w:sz w:val="20"/>
          <w:szCs w:val="20"/>
          <w:lang w:eastAsia="es-ES"/>
        </w:rPr>
        <w:t>incapacidad para efectuar</w:t>
      </w:r>
      <w:r w:rsidRPr="00C30287">
        <w:rPr>
          <w:rFonts w:ascii="Arial" w:eastAsia="Times New Roman" w:hAnsi="Arial" w:cs="Arial"/>
          <w:sz w:val="20"/>
          <w:szCs w:val="20"/>
          <w:lang w:eastAsia="es-ES"/>
        </w:rPr>
        <w:t xml:space="preserve"> </w:t>
      </w:r>
      <w:r w:rsidR="00C74957" w:rsidRPr="00C30287">
        <w:rPr>
          <w:rFonts w:ascii="Arial" w:eastAsia="Times New Roman" w:hAnsi="Arial" w:cs="Arial"/>
          <w:sz w:val="20"/>
          <w:szCs w:val="20"/>
          <w:lang w:eastAsia="es-ES"/>
        </w:rPr>
        <w:t>una secuencia de</w:t>
      </w:r>
      <w:r w:rsidRPr="00C30287">
        <w:rPr>
          <w:rFonts w:ascii="Arial" w:eastAsia="Times New Roman" w:hAnsi="Arial" w:cs="Arial"/>
          <w:sz w:val="20"/>
          <w:szCs w:val="20"/>
          <w:lang w:eastAsia="es-ES"/>
        </w:rPr>
        <w:t xml:space="preserve"> acciones finas coordinadas. </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  Temblor:  puede  aparecer  con  la  intención  o  con  el  mantenimiento  de  una postura. </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  Nistagmo: con el componente rápido máximo en dirección al lado de la lesión </w:t>
      </w:r>
      <w:proofErr w:type="spellStart"/>
      <w:r w:rsidRPr="00C30287">
        <w:rPr>
          <w:rFonts w:ascii="Arial" w:eastAsia="Times New Roman" w:hAnsi="Arial" w:cs="Arial"/>
          <w:sz w:val="20"/>
          <w:szCs w:val="20"/>
          <w:lang w:eastAsia="es-ES"/>
        </w:rPr>
        <w:t>cerebelosa</w:t>
      </w:r>
      <w:proofErr w:type="spellEnd"/>
      <w:r w:rsidRPr="00C30287">
        <w:rPr>
          <w:rFonts w:ascii="Arial" w:eastAsia="Times New Roman" w:hAnsi="Arial" w:cs="Arial"/>
          <w:sz w:val="20"/>
          <w:szCs w:val="20"/>
          <w:lang w:eastAsia="es-ES"/>
        </w:rPr>
        <w:t>.</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La mayor descripción de enfermos con ataxias </w:t>
      </w:r>
      <w:proofErr w:type="spellStart"/>
      <w:r w:rsidRPr="00C30287">
        <w:rPr>
          <w:rFonts w:ascii="Arial" w:eastAsia="Times New Roman" w:hAnsi="Arial" w:cs="Arial"/>
          <w:sz w:val="20"/>
          <w:szCs w:val="20"/>
          <w:lang w:eastAsia="es-ES"/>
        </w:rPr>
        <w:t>espinocerebelosa</w:t>
      </w:r>
      <w:proofErr w:type="spellEnd"/>
      <w:r w:rsidRPr="00C30287">
        <w:rPr>
          <w:rFonts w:ascii="Arial" w:eastAsia="Times New Roman" w:hAnsi="Arial" w:cs="Arial"/>
          <w:sz w:val="20"/>
          <w:szCs w:val="20"/>
          <w:lang w:eastAsia="es-ES"/>
        </w:rPr>
        <w:t xml:space="preserve"> tipo 2 (SCA2), se produjo en las familias cubanas. Se caracteriza por un síndrome </w:t>
      </w:r>
      <w:proofErr w:type="spellStart"/>
      <w:r w:rsidRPr="00C30287">
        <w:rPr>
          <w:rFonts w:ascii="Arial" w:eastAsia="Times New Roman" w:hAnsi="Arial" w:cs="Arial"/>
          <w:sz w:val="20"/>
          <w:szCs w:val="20"/>
          <w:lang w:eastAsia="es-ES"/>
        </w:rPr>
        <w:t>cerebeloso</w:t>
      </w:r>
      <w:proofErr w:type="spellEnd"/>
      <w:r w:rsidRPr="00C30287">
        <w:rPr>
          <w:rFonts w:ascii="Arial" w:eastAsia="Times New Roman" w:hAnsi="Arial" w:cs="Arial"/>
          <w:sz w:val="20"/>
          <w:szCs w:val="20"/>
          <w:lang w:eastAsia="es-ES"/>
        </w:rPr>
        <w:t xml:space="preserve"> asociado con alteraciones de los movimientos oculares </w:t>
      </w:r>
      <w:proofErr w:type="spellStart"/>
      <w:r w:rsidRPr="00C30287">
        <w:rPr>
          <w:rFonts w:ascii="Arial" w:eastAsia="Times New Roman" w:hAnsi="Arial" w:cs="Arial"/>
          <w:sz w:val="20"/>
          <w:szCs w:val="20"/>
          <w:lang w:eastAsia="es-ES"/>
        </w:rPr>
        <w:t>sacádicos</w:t>
      </w:r>
      <w:proofErr w:type="spellEnd"/>
      <w:r w:rsidRPr="00C30287">
        <w:rPr>
          <w:rFonts w:ascii="Arial" w:eastAsia="Times New Roman" w:hAnsi="Arial" w:cs="Arial"/>
          <w:sz w:val="20"/>
          <w:szCs w:val="20"/>
          <w:lang w:eastAsia="es-ES"/>
        </w:rPr>
        <w:t xml:space="preserve"> y alteraciones de los reflejos </w:t>
      </w:r>
      <w:proofErr w:type="spellStart"/>
      <w:r w:rsidRPr="00C30287">
        <w:rPr>
          <w:rFonts w:ascii="Arial" w:eastAsia="Times New Roman" w:hAnsi="Arial" w:cs="Arial"/>
          <w:sz w:val="20"/>
          <w:szCs w:val="20"/>
          <w:lang w:eastAsia="es-ES"/>
        </w:rPr>
        <w:t>osteotendinosos</w:t>
      </w:r>
      <w:proofErr w:type="spellEnd"/>
      <w:r w:rsidRPr="00C30287">
        <w:rPr>
          <w:rFonts w:ascii="Arial" w:eastAsia="Times New Roman" w:hAnsi="Arial" w:cs="Arial"/>
          <w:sz w:val="20"/>
          <w:szCs w:val="20"/>
          <w:lang w:eastAsia="es-ES"/>
        </w:rPr>
        <w:t xml:space="preserve">. Los estudios genéticos demuestran que la SCA2 es una de las formas moleculares de SCA mas encontradas a nivel mundial. Los síntomas se inician generalmente entre la tercera y la cuarta década de vida con una evolución de 10 a 15 años. La enfermedad progresa muy rápido cuando se inicia ante de los 20 años. </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En el adulto la edad media del inicio de la ataxia se sitúa en la cuarta década de la vida. Pero por las características de la alteración molecular de estas enfermedades, se observa el fenómeno de "anticipación", referido a que en las generaciones más jóvenes las manifestaciones clínicas aparecen a edades más tempranas. Por ello, aunque son afecciones más frecuentes en adultos, no es inusual que se presenten en niños.</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El diagnóstico molecular es el estudio directo del ADN de los enfermos, pues clínicamente no siempre es fácil diferenciarlas. Esta investigación se realiza en el Centro para la Investigación y Rehabilitación de las Ataxias Hereditarias (CIRAH). En el CIRAH se ha desarrollado un equipo multidisciplinario, constituido entre otros profesionales por neurólogos, </w:t>
      </w:r>
      <w:proofErr w:type="spellStart"/>
      <w:r w:rsidRPr="00C30287">
        <w:rPr>
          <w:rFonts w:ascii="Arial" w:eastAsia="Times New Roman" w:hAnsi="Arial" w:cs="Arial"/>
          <w:sz w:val="20"/>
          <w:szCs w:val="20"/>
          <w:lang w:eastAsia="es-ES"/>
        </w:rPr>
        <w:t>neurofisiólogos</w:t>
      </w:r>
      <w:proofErr w:type="spellEnd"/>
      <w:r w:rsidRPr="00C30287">
        <w:rPr>
          <w:rFonts w:ascii="Arial" w:eastAsia="Times New Roman" w:hAnsi="Arial" w:cs="Arial"/>
          <w:sz w:val="20"/>
          <w:szCs w:val="20"/>
          <w:lang w:eastAsia="es-ES"/>
        </w:rPr>
        <w:t>, biólogos moleculares, psicólogos, asesores genéticos, para el seguimiento y terapia de las ataxias. Asimismo, con el desarrollo del proyecto Genoma Humano se aspira a encontrar una terapia eficaz para el tratamiento de estas enfermedades. De ahí la importancia de que todos los enfermos se encuentren caracterizados clínica y molecularmente.</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Las causas de aparición pueden ser muchas y muy diversas. Entre </w:t>
      </w:r>
      <w:r w:rsidR="00C74957" w:rsidRPr="00C30287">
        <w:rPr>
          <w:rFonts w:ascii="Arial" w:eastAsia="Times New Roman" w:hAnsi="Arial" w:cs="Arial"/>
          <w:sz w:val="20"/>
          <w:szCs w:val="20"/>
          <w:lang w:eastAsia="es-ES"/>
        </w:rPr>
        <w:t>las más</w:t>
      </w:r>
      <w:r w:rsidRPr="00C30287">
        <w:rPr>
          <w:rFonts w:ascii="Arial" w:eastAsia="Times New Roman" w:hAnsi="Arial" w:cs="Arial"/>
          <w:sz w:val="20"/>
          <w:szCs w:val="20"/>
          <w:lang w:eastAsia="es-ES"/>
        </w:rPr>
        <w:t xml:space="preserve"> comunes destacaremos: hereditarias (las cuales podrán ser degenerativas o no), traumatismos, intoxicación por diversos tipos de sustancias (fármacos, alcohol etc.), alteraciones metabólicas, degenerativas, infecciones y tumores.</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Por regla general, esta enfermedad no distingue entre sexos, </w:t>
      </w:r>
      <w:r w:rsidR="00C74957" w:rsidRPr="00C30287">
        <w:rPr>
          <w:rFonts w:ascii="Arial" w:eastAsia="Times New Roman" w:hAnsi="Arial" w:cs="Arial"/>
          <w:sz w:val="20"/>
          <w:szCs w:val="20"/>
          <w:lang w:eastAsia="es-ES"/>
        </w:rPr>
        <w:t>encontrándose un</w:t>
      </w:r>
      <w:r w:rsidRPr="00C30287">
        <w:rPr>
          <w:rFonts w:ascii="Arial" w:eastAsia="Times New Roman" w:hAnsi="Arial" w:cs="Arial"/>
          <w:sz w:val="20"/>
          <w:szCs w:val="20"/>
          <w:lang w:eastAsia="es-ES"/>
        </w:rPr>
        <w:t xml:space="preserve"> número más o menos similar de hombres y mujeres afectados. Tampoco la edad es un factor relacionado con la aparición de este síndrome, ya que pueden verse afectadas las personas a diferentes edades, sin embargo suele atacar de manera más común a los ancianos por sufrir más comúnmente de procesos degenerativos propios de su grupo etario. La incidencia de los casos varía también según el tipo de ataxia que tengamos, siendo unas mucho más frecuentes que otras.</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En el proceso de atención educativa a escolares con síntoma de ataxia se proponen un conjunto de acciones sobre la base de tres pilares básicos: los principios de rehabilitación de la ataxia, dirigidos al desarrollo de capacidades y habilidades motrices y neuromusculares; la atención docente individualizada para el trabajo compensatorio de los escolares, teniendo en cuenta el avance de la enfermedad; y los </w:t>
      </w:r>
      <w:r w:rsidRPr="00C30287">
        <w:rPr>
          <w:rFonts w:ascii="Arial" w:eastAsia="Times New Roman" w:hAnsi="Arial" w:cs="Arial"/>
          <w:sz w:val="20"/>
          <w:szCs w:val="20"/>
          <w:lang w:eastAsia="es-ES"/>
        </w:rPr>
        <w:lastRenderedPageBreak/>
        <w:t>sistemas aumentativos y alternativos de la comunicación, con el propósito de potenciar y brindar recursos necesarios en función de potenciar la comunicación.</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En toda intervención que se realice con pacientes con ataxia independientemente del tipo que sea se debe tener presente los principios de la rehabilitación de pacientes con Ataxia descritos por Rafael García Ortiz (2014). Ex-rehabilitador físico del CIREN -Centro Internacional de Rehabilitación Neurológica (Cuba).</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Estos principios se resumen en:</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w:t>
      </w:r>
      <w:r w:rsidRPr="00C30287">
        <w:rPr>
          <w:rFonts w:ascii="Arial" w:eastAsia="Times New Roman" w:hAnsi="Arial" w:cs="Arial"/>
          <w:sz w:val="20"/>
          <w:szCs w:val="20"/>
          <w:lang w:eastAsia="es-ES"/>
        </w:rPr>
        <w:tab/>
        <w:t xml:space="preserve"> Todo tratamiento debe comenzar en correspondencia con la etapa de evolución de la patología en cada paciente. En mi propuesta se tuvo presente pues dada la evolución del cuadro clínico del paciente, este adolescente ya posee un diagnóstico firme de disartria </w:t>
      </w:r>
      <w:proofErr w:type="spellStart"/>
      <w:r w:rsidRPr="00C30287">
        <w:rPr>
          <w:rFonts w:ascii="Arial" w:eastAsia="Times New Roman" w:hAnsi="Arial" w:cs="Arial"/>
          <w:sz w:val="20"/>
          <w:szCs w:val="20"/>
          <w:lang w:eastAsia="es-ES"/>
        </w:rPr>
        <w:t>cerebelosa</w:t>
      </w:r>
      <w:proofErr w:type="spellEnd"/>
      <w:r w:rsidRPr="00C30287">
        <w:rPr>
          <w:rFonts w:ascii="Arial" w:eastAsia="Times New Roman" w:hAnsi="Arial" w:cs="Arial"/>
          <w:sz w:val="20"/>
          <w:szCs w:val="20"/>
          <w:lang w:eastAsia="es-ES"/>
        </w:rPr>
        <w:t>.</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w:t>
      </w:r>
      <w:r w:rsidRPr="00C30287">
        <w:rPr>
          <w:rFonts w:ascii="Arial" w:eastAsia="Times New Roman" w:hAnsi="Arial" w:cs="Arial"/>
          <w:sz w:val="20"/>
          <w:szCs w:val="20"/>
          <w:lang w:eastAsia="es-ES"/>
        </w:rPr>
        <w:tab/>
        <w:t xml:space="preserve"> Conservar y desarrollar las capacidades y habilidades motrices tomando como referencia el estado clínico de cada paciente. </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w:t>
      </w:r>
      <w:r w:rsidRPr="00C30287">
        <w:rPr>
          <w:rFonts w:ascii="Arial" w:eastAsia="Times New Roman" w:hAnsi="Arial" w:cs="Arial"/>
          <w:sz w:val="20"/>
          <w:szCs w:val="20"/>
          <w:lang w:eastAsia="es-ES"/>
        </w:rPr>
        <w:tab/>
        <w:t>Conservar y desarrollar la unión neuromuscular y patrones de movimientos del paciente.</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w:t>
      </w:r>
      <w:r w:rsidRPr="00C30287">
        <w:rPr>
          <w:rFonts w:ascii="Arial" w:eastAsia="Times New Roman" w:hAnsi="Arial" w:cs="Arial"/>
          <w:sz w:val="20"/>
          <w:szCs w:val="20"/>
          <w:lang w:eastAsia="es-ES"/>
        </w:rPr>
        <w:tab/>
        <w:t>Explorar periódicamente al paciente con el fin de controlar y evaluar los objetivos planificados.</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w:t>
      </w:r>
      <w:r w:rsidRPr="00C30287">
        <w:rPr>
          <w:rFonts w:ascii="Arial" w:eastAsia="Times New Roman" w:hAnsi="Arial" w:cs="Arial"/>
          <w:sz w:val="20"/>
          <w:szCs w:val="20"/>
          <w:lang w:eastAsia="es-ES"/>
        </w:rPr>
        <w:tab/>
        <w:t>Evitar la fatiga muscular durante las sesiones, teniendo presente una correcta dosificación entre trabajo y descanso.</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w:t>
      </w:r>
      <w:r w:rsidRPr="00C30287">
        <w:rPr>
          <w:rFonts w:ascii="Arial" w:eastAsia="Times New Roman" w:hAnsi="Arial" w:cs="Arial"/>
          <w:sz w:val="20"/>
          <w:szCs w:val="20"/>
          <w:lang w:eastAsia="es-ES"/>
        </w:rPr>
        <w:tab/>
        <w:t>Prevenir los excesos de temperatura ambiente.</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w:t>
      </w:r>
      <w:r w:rsidRPr="00C30287">
        <w:rPr>
          <w:rFonts w:ascii="Arial" w:eastAsia="Times New Roman" w:hAnsi="Arial" w:cs="Arial"/>
          <w:sz w:val="20"/>
          <w:szCs w:val="20"/>
          <w:lang w:eastAsia="es-ES"/>
        </w:rPr>
        <w:tab/>
        <w:t>Prevenir lesiones traumáticas ante inevitables caídas.</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w:t>
      </w:r>
      <w:r w:rsidRPr="00C30287">
        <w:rPr>
          <w:rFonts w:ascii="Arial" w:eastAsia="Times New Roman" w:hAnsi="Arial" w:cs="Arial"/>
          <w:sz w:val="20"/>
          <w:szCs w:val="20"/>
          <w:lang w:eastAsia="es-ES"/>
        </w:rPr>
        <w:tab/>
        <w:t>Controlar por Neurología el suministro de complementos vitamínicos.</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w:t>
      </w:r>
      <w:r w:rsidRPr="00C30287">
        <w:rPr>
          <w:rFonts w:ascii="Arial" w:eastAsia="Times New Roman" w:hAnsi="Arial" w:cs="Arial"/>
          <w:sz w:val="20"/>
          <w:szCs w:val="20"/>
          <w:lang w:eastAsia="es-ES"/>
        </w:rPr>
        <w:tab/>
        <w:t xml:space="preserve">Prevenir deformaciones </w:t>
      </w:r>
      <w:proofErr w:type="spellStart"/>
      <w:r w:rsidRPr="00C30287">
        <w:rPr>
          <w:rFonts w:ascii="Arial" w:eastAsia="Times New Roman" w:hAnsi="Arial" w:cs="Arial"/>
          <w:sz w:val="20"/>
          <w:szCs w:val="20"/>
          <w:lang w:eastAsia="es-ES"/>
        </w:rPr>
        <w:t>osteoarticulares</w:t>
      </w:r>
      <w:proofErr w:type="spellEnd"/>
      <w:r w:rsidRPr="00C30287">
        <w:rPr>
          <w:rFonts w:ascii="Arial" w:eastAsia="Times New Roman" w:hAnsi="Arial" w:cs="Arial"/>
          <w:sz w:val="20"/>
          <w:szCs w:val="20"/>
          <w:lang w:eastAsia="es-ES"/>
        </w:rPr>
        <w:t>.</w:t>
      </w:r>
    </w:p>
    <w:p w:rsidR="00C30287" w:rsidRP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 xml:space="preserve">Los Sistemas aumentativos y Alternativos de la Comunicación facilitan la comunicación en las personas que tienen complejas limitaciones en la comunicación oral, en la ejecución del habla, mediante los apoyos y las ayudas generalmente no vocales. Estos sistemas aumentativos están incluidos en el tipo de comunicación </w:t>
      </w:r>
      <w:proofErr w:type="spellStart"/>
      <w:r w:rsidRPr="00C30287">
        <w:rPr>
          <w:rFonts w:ascii="Arial" w:eastAsia="Times New Roman" w:hAnsi="Arial" w:cs="Arial"/>
          <w:sz w:val="20"/>
          <w:szCs w:val="20"/>
          <w:lang w:eastAsia="es-ES"/>
        </w:rPr>
        <w:t>extraverbal</w:t>
      </w:r>
      <w:proofErr w:type="spellEnd"/>
      <w:r w:rsidRPr="00C30287">
        <w:rPr>
          <w:rFonts w:ascii="Arial" w:eastAsia="Times New Roman" w:hAnsi="Arial" w:cs="Arial"/>
          <w:sz w:val="20"/>
          <w:szCs w:val="20"/>
          <w:lang w:eastAsia="es-ES"/>
        </w:rPr>
        <w:t>, que es la que se trasmite por cualquier otro canal que no sea el habla, tales como la telegráfica (alfabeto Morse) la escritura, la mímica, los gestos, la pantomima, los pictogramas, entre otros, y resultan de interés debido a la posibilidad que tienen de convertirse en procesos aumentativos de intercambio comunicativo en personas con trastornos del lenguaje.</w:t>
      </w:r>
    </w:p>
    <w:p w:rsidR="00C30287" w:rsidRDefault="00C30287" w:rsidP="00C30287">
      <w:pPr>
        <w:jc w:val="both"/>
        <w:rPr>
          <w:rFonts w:ascii="Arial" w:eastAsia="Times New Roman" w:hAnsi="Arial" w:cs="Arial"/>
          <w:sz w:val="20"/>
          <w:szCs w:val="20"/>
          <w:lang w:eastAsia="es-ES"/>
        </w:rPr>
      </w:pPr>
      <w:r w:rsidRPr="00C30287">
        <w:rPr>
          <w:rFonts w:ascii="Arial" w:eastAsia="Times New Roman" w:hAnsi="Arial" w:cs="Arial"/>
          <w:sz w:val="20"/>
          <w:szCs w:val="20"/>
          <w:lang w:eastAsia="es-ES"/>
        </w:rPr>
        <w:t>De esta forma se pueden realizar otras investigaciones en las que se incluyan estos elementos pues en un momento determinado de la enfermedad el proceso de comunicación oral se ve seriamente dañado, por lo que se pueden emplear recursos de los sistemas aumentativos y alternativos de la comunicación como: pictogramas, comunicación gestual no vocal, uso del objeto de referencia y comunicación signada.</w:t>
      </w:r>
    </w:p>
    <w:p w:rsidR="00F84D2E" w:rsidRPr="00C30287" w:rsidRDefault="00F84D2E" w:rsidP="00C30287">
      <w:pPr>
        <w:jc w:val="both"/>
        <w:rPr>
          <w:rFonts w:ascii="Arial" w:eastAsia="Times New Roman" w:hAnsi="Arial" w:cs="Arial"/>
          <w:sz w:val="20"/>
          <w:szCs w:val="20"/>
          <w:lang w:eastAsia="es-ES"/>
        </w:rPr>
      </w:pPr>
      <w:r>
        <w:rPr>
          <w:rFonts w:ascii="Arial" w:eastAsia="Times New Roman" w:hAnsi="Arial" w:cs="Arial"/>
          <w:sz w:val="20"/>
          <w:szCs w:val="20"/>
          <w:lang w:eastAsia="es-ES"/>
        </w:rPr>
        <w:t>De esta forma se trabaja en función de la atención a escolares con estas manifestaciones en contextos inclusivos.</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 xml:space="preserve">Para la aplicación de las </w:t>
      </w:r>
      <w:r>
        <w:rPr>
          <w:rFonts w:ascii="Arial" w:hAnsi="Arial" w:cs="Arial"/>
          <w:sz w:val="20"/>
          <w:szCs w:val="20"/>
          <w:lang w:val="es-ES_tradnl"/>
        </w:rPr>
        <w:t>acciones de atención educativa</w:t>
      </w:r>
      <w:r w:rsidRPr="00F84D2E">
        <w:rPr>
          <w:rFonts w:ascii="Arial" w:hAnsi="Arial" w:cs="Arial"/>
          <w:sz w:val="20"/>
          <w:szCs w:val="20"/>
          <w:lang w:val="es-ES_tradnl"/>
        </w:rPr>
        <w:t xml:space="preserve"> en la práctica se realiza un estudio de caso. Para asumir una metodología en este estudio se consultan las propuestas de tres autores (B. Collazo y M. Puentes, 1992; M. Torres, 2002a y L. </w:t>
      </w:r>
      <w:proofErr w:type="spellStart"/>
      <w:r w:rsidRPr="00F84D2E">
        <w:rPr>
          <w:rFonts w:ascii="Arial" w:hAnsi="Arial" w:cs="Arial"/>
          <w:sz w:val="20"/>
          <w:szCs w:val="20"/>
          <w:lang w:val="es-ES_tradnl"/>
        </w:rPr>
        <w:t>Chernousova</w:t>
      </w:r>
      <w:proofErr w:type="spellEnd"/>
      <w:r w:rsidRPr="00F84D2E">
        <w:rPr>
          <w:rFonts w:ascii="Arial" w:hAnsi="Arial" w:cs="Arial"/>
          <w:sz w:val="20"/>
          <w:szCs w:val="20"/>
          <w:lang w:val="es-ES_tradnl"/>
        </w:rPr>
        <w:t>, 2008) Tomando en consideración estos criterios se establecen las siguientes etapas para el estudio de casos:</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I.</w:t>
      </w:r>
      <w:r w:rsidRPr="00F84D2E">
        <w:rPr>
          <w:rFonts w:ascii="Arial" w:hAnsi="Arial" w:cs="Arial"/>
          <w:sz w:val="20"/>
          <w:szCs w:val="20"/>
          <w:lang w:val="es-ES_tradnl"/>
        </w:rPr>
        <w:tab/>
        <w:t>Selección intencional de los casos a investigar.</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II.</w:t>
      </w:r>
      <w:r w:rsidRPr="00F84D2E">
        <w:rPr>
          <w:rFonts w:ascii="Arial" w:hAnsi="Arial" w:cs="Arial"/>
          <w:sz w:val="20"/>
          <w:szCs w:val="20"/>
          <w:lang w:val="es-ES_tradnl"/>
        </w:rPr>
        <w:tab/>
        <w:t xml:space="preserve">Estudio longitudinal de los casos seleccionados. </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III.</w:t>
      </w:r>
      <w:r w:rsidRPr="00F84D2E">
        <w:rPr>
          <w:rFonts w:ascii="Arial" w:hAnsi="Arial" w:cs="Arial"/>
          <w:sz w:val="20"/>
          <w:szCs w:val="20"/>
          <w:lang w:val="es-ES_tradnl"/>
        </w:rPr>
        <w:tab/>
        <w:t>Recomendaciones para el seguimiento y generalización de los resultados.</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A continuación se describe cada una de las etapas anteriores.</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ETAPA I: selección intencional de los casos a investigar.</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 xml:space="preserve">Objetivo: seleccionar un </w:t>
      </w:r>
      <w:r w:rsidR="00C74957">
        <w:rPr>
          <w:rFonts w:ascii="Arial" w:hAnsi="Arial" w:cs="Arial"/>
          <w:sz w:val="20"/>
          <w:szCs w:val="20"/>
          <w:lang w:val="es-ES_tradnl"/>
        </w:rPr>
        <w:t>escolar</w:t>
      </w:r>
      <w:r w:rsidRPr="00F84D2E">
        <w:rPr>
          <w:rFonts w:ascii="Arial" w:hAnsi="Arial" w:cs="Arial"/>
          <w:sz w:val="20"/>
          <w:szCs w:val="20"/>
          <w:lang w:val="es-ES_tradnl"/>
        </w:rPr>
        <w:t xml:space="preserve"> diagnosticado con ataxia </w:t>
      </w:r>
      <w:proofErr w:type="spellStart"/>
      <w:r w:rsidRPr="00F84D2E">
        <w:rPr>
          <w:rFonts w:ascii="Arial" w:hAnsi="Arial" w:cs="Arial"/>
          <w:sz w:val="20"/>
          <w:szCs w:val="20"/>
          <w:lang w:val="es-ES_tradnl"/>
        </w:rPr>
        <w:t>espinocerebelosa</w:t>
      </w:r>
      <w:proofErr w:type="spellEnd"/>
      <w:r w:rsidRPr="00F84D2E">
        <w:rPr>
          <w:rFonts w:ascii="Arial" w:hAnsi="Arial" w:cs="Arial"/>
          <w:sz w:val="20"/>
          <w:szCs w:val="20"/>
          <w:lang w:val="es-ES_tradnl"/>
        </w:rPr>
        <w:t xml:space="preserve"> Tipo II, que presente </w:t>
      </w:r>
      <w:r w:rsidR="00C74957">
        <w:rPr>
          <w:rFonts w:ascii="Arial" w:hAnsi="Arial" w:cs="Arial"/>
          <w:sz w:val="20"/>
          <w:szCs w:val="20"/>
          <w:lang w:val="es-ES_tradnl"/>
        </w:rPr>
        <w:t>manifestaciones de la enfermedad dificultándose su motricidad en mayor o menor medida</w:t>
      </w:r>
      <w:r w:rsidRPr="00F84D2E">
        <w:rPr>
          <w:rFonts w:ascii="Arial" w:hAnsi="Arial" w:cs="Arial"/>
          <w:sz w:val="20"/>
          <w:szCs w:val="20"/>
          <w:lang w:val="es-ES_tradnl"/>
        </w:rPr>
        <w:t xml:space="preserve">. </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Criterios de intencionalidad:</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w:t>
      </w:r>
      <w:r w:rsidRPr="00F84D2E">
        <w:rPr>
          <w:rFonts w:ascii="Arial" w:hAnsi="Arial" w:cs="Arial"/>
          <w:sz w:val="20"/>
          <w:szCs w:val="20"/>
          <w:lang w:val="es-ES_tradnl"/>
        </w:rPr>
        <w:tab/>
        <w:t xml:space="preserve">Presencia de ataxia </w:t>
      </w:r>
      <w:proofErr w:type="spellStart"/>
      <w:r w:rsidRPr="00F84D2E">
        <w:rPr>
          <w:rFonts w:ascii="Arial" w:hAnsi="Arial" w:cs="Arial"/>
          <w:sz w:val="20"/>
          <w:szCs w:val="20"/>
          <w:lang w:val="es-ES_tradnl"/>
        </w:rPr>
        <w:t>espinocerebelosa</w:t>
      </w:r>
      <w:proofErr w:type="spellEnd"/>
      <w:r w:rsidRPr="00F84D2E">
        <w:rPr>
          <w:rFonts w:ascii="Arial" w:hAnsi="Arial" w:cs="Arial"/>
          <w:sz w:val="20"/>
          <w:szCs w:val="20"/>
          <w:lang w:val="es-ES_tradnl"/>
        </w:rPr>
        <w:t xml:space="preserve"> Tipo II.</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w:t>
      </w:r>
      <w:r w:rsidRPr="00F84D2E">
        <w:rPr>
          <w:rFonts w:ascii="Arial" w:hAnsi="Arial" w:cs="Arial"/>
          <w:sz w:val="20"/>
          <w:szCs w:val="20"/>
          <w:lang w:val="es-ES_tradnl"/>
        </w:rPr>
        <w:tab/>
        <w:t xml:space="preserve">Alteración del habla por disartria </w:t>
      </w:r>
      <w:proofErr w:type="spellStart"/>
      <w:r w:rsidRPr="00F84D2E">
        <w:rPr>
          <w:rFonts w:ascii="Arial" w:hAnsi="Arial" w:cs="Arial"/>
          <w:sz w:val="20"/>
          <w:szCs w:val="20"/>
          <w:lang w:val="es-ES_tradnl"/>
        </w:rPr>
        <w:t>cerebelosa</w:t>
      </w:r>
      <w:proofErr w:type="spellEnd"/>
      <w:r w:rsidR="00C74957">
        <w:rPr>
          <w:rFonts w:ascii="Arial" w:hAnsi="Arial" w:cs="Arial"/>
          <w:sz w:val="20"/>
          <w:szCs w:val="20"/>
          <w:lang w:val="es-ES_tradnl"/>
        </w:rPr>
        <w:t>, alteraciones de la marcha</w:t>
      </w:r>
      <w:r w:rsidRPr="00F84D2E">
        <w:rPr>
          <w:rFonts w:ascii="Arial" w:hAnsi="Arial" w:cs="Arial"/>
          <w:sz w:val="20"/>
          <w:szCs w:val="20"/>
          <w:lang w:val="es-ES_tradnl"/>
        </w:rPr>
        <w:t>.</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Procedimiento:</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 xml:space="preserve">Se selecciona al </w:t>
      </w:r>
      <w:r w:rsidR="00C74957">
        <w:rPr>
          <w:rFonts w:ascii="Arial" w:hAnsi="Arial" w:cs="Arial"/>
          <w:sz w:val="20"/>
          <w:szCs w:val="20"/>
          <w:lang w:val="es-ES_tradnl"/>
        </w:rPr>
        <w:t>escolar</w:t>
      </w:r>
      <w:r w:rsidRPr="00F84D2E">
        <w:rPr>
          <w:rFonts w:ascii="Arial" w:hAnsi="Arial" w:cs="Arial"/>
          <w:sz w:val="20"/>
          <w:szCs w:val="20"/>
          <w:lang w:val="es-ES_tradnl"/>
        </w:rPr>
        <w:t xml:space="preserve"> de muestra a partir de la recomendación expresa del Centro de Rehabilitación de Ataxia. </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lastRenderedPageBreak/>
        <w:t xml:space="preserve">En entrevista sostenida con el Director del Centro de Rehabilitación se conoce de la aceptación de la familia para que puedan establecer con él una atención diferenciada en el hogar. Este </w:t>
      </w:r>
      <w:r w:rsidR="00C74957">
        <w:rPr>
          <w:rFonts w:ascii="Arial" w:hAnsi="Arial" w:cs="Arial"/>
          <w:sz w:val="20"/>
          <w:szCs w:val="20"/>
          <w:lang w:val="es-ES_tradnl"/>
        </w:rPr>
        <w:t>escolar</w:t>
      </w:r>
      <w:r w:rsidRPr="00F84D2E">
        <w:rPr>
          <w:rFonts w:ascii="Arial" w:hAnsi="Arial" w:cs="Arial"/>
          <w:sz w:val="20"/>
          <w:szCs w:val="20"/>
          <w:lang w:val="es-ES_tradnl"/>
        </w:rPr>
        <w:t xml:space="preserve"> tiene manifestaciones de timidez producto de su patología y requiere de tratamiento especializado.</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ETAPA II: estudio longitudinal del caso seleccionado.</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 xml:space="preserve">Objetivo: caracterizar al </w:t>
      </w:r>
      <w:r w:rsidR="00C74957">
        <w:rPr>
          <w:rFonts w:ascii="Arial" w:hAnsi="Arial" w:cs="Arial"/>
          <w:sz w:val="20"/>
          <w:szCs w:val="20"/>
          <w:lang w:val="es-ES_tradnl"/>
        </w:rPr>
        <w:t>escolar</w:t>
      </w:r>
      <w:r w:rsidRPr="00F84D2E">
        <w:rPr>
          <w:rFonts w:ascii="Arial" w:hAnsi="Arial" w:cs="Arial"/>
          <w:sz w:val="20"/>
          <w:szCs w:val="20"/>
          <w:lang w:val="es-ES_tradnl"/>
        </w:rPr>
        <w:t xml:space="preserve"> seleccionado tanto desde el punto de vista psicológico como de las alteraciones </w:t>
      </w:r>
      <w:r w:rsidR="00C74957">
        <w:rPr>
          <w:rFonts w:ascii="Arial" w:hAnsi="Arial" w:cs="Arial"/>
          <w:sz w:val="20"/>
          <w:szCs w:val="20"/>
          <w:lang w:val="es-ES_tradnl"/>
        </w:rPr>
        <w:t>propias de la enfermedad</w:t>
      </w:r>
      <w:r w:rsidRPr="00F84D2E">
        <w:rPr>
          <w:rFonts w:ascii="Arial" w:hAnsi="Arial" w:cs="Arial"/>
          <w:sz w:val="20"/>
          <w:szCs w:val="20"/>
          <w:lang w:val="es-ES_tradnl"/>
        </w:rPr>
        <w:t xml:space="preserve">. </w:t>
      </w:r>
    </w:p>
    <w:p w:rsidR="00CA78F8" w:rsidRDefault="00F84D2E" w:rsidP="00F84D2E">
      <w:pPr>
        <w:jc w:val="both"/>
        <w:rPr>
          <w:rFonts w:ascii="Arial" w:hAnsi="Arial" w:cs="Arial"/>
          <w:sz w:val="20"/>
          <w:szCs w:val="20"/>
          <w:lang w:val="es-ES_tradnl"/>
        </w:rPr>
      </w:pPr>
      <w:r w:rsidRPr="00F84D2E">
        <w:rPr>
          <w:rFonts w:ascii="Arial" w:hAnsi="Arial" w:cs="Arial"/>
          <w:sz w:val="20"/>
          <w:szCs w:val="20"/>
          <w:lang w:val="es-ES_tradnl"/>
        </w:rPr>
        <w:t xml:space="preserve">En la etapa se concreta la metodología mediante la ejecución de las acciones que se </w:t>
      </w:r>
      <w:r w:rsidR="00C74957">
        <w:rPr>
          <w:rFonts w:ascii="Arial" w:hAnsi="Arial" w:cs="Arial"/>
          <w:sz w:val="20"/>
          <w:szCs w:val="20"/>
          <w:lang w:val="es-ES_tradnl"/>
        </w:rPr>
        <w:t>desarrollan teniendo en cuenta los tres pilares básicos</w:t>
      </w:r>
      <w:r w:rsidR="00127EED">
        <w:rPr>
          <w:rFonts w:ascii="Arial" w:hAnsi="Arial" w:cs="Arial"/>
          <w:sz w:val="20"/>
          <w:szCs w:val="20"/>
          <w:lang w:val="es-ES_tradnl"/>
        </w:rPr>
        <w:t xml:space="preserve"> para la atención educativa a escolares con síntomas de ataxia.</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ETAPA III: Recomendaciones para el seguimiento y generalización de los resultados.</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 xml:space="preserve">Objetivo: Establecer pautas para darle continuidad </w:t>
      </w:r>
      <w:r w:rsidR="00D6244B">
        <w:rPr>
          <w:rFonts w:ascii="Arial" w:hAnsi="Arial" w:cs="Arial"/>
          <w:sz w:val="20"/>
          <w:szCs w:val="20"/>
          <w:lang w:val="es-ES_tradnl"/>
        </w:rPr>
        <w:t>a la atención educativa</w:t>
      </w:r>
      <w:r w:rsidRPr="00F84D2E">
        <w:rPr>
          <w:rFonts w:ascii="Arial" w:hAnsi="Arial" w:cs="Arial"/>
          <w:sz w:val="20"/>
          <w:szCs w:val="20"/>
          <w:lang w:val="es-ES_tradnl"/>
        </w:rPr>
        <w:t xml:space="preserve"> del caso seleccionado y extender el estudio a otros contextos.</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 xml:space="preserve">Tomando en consideración los resultados de las </w:t>
      </w:r>
      <w:r w:rsidR="00D6244B">
        <w:rPr>
          <w:rFonts w:ascii="Arial" w:hAnsi="Arial" w:cs="Arial"/>
          <w:sz w:val="20"/>
          <w:szCs w:val="20"/>
          <w:lang w:val="es-ES_tradnl"/>
        </w:rPr>
        <w:t>acciones</w:t>
      </w:r>
      <w:r w:rsidRPr="00F84D2E">
        <w:rPr>
          <w:rFonts w:ascii="Arial" w:hAnsi="Arial" w:cs="Arial"/>
          <w:sz w:val="20"/>
          <w:szCs w:val="20"/>
          <w:lang w:val="es-ES_tradnl"/>
        </w:rPr>
        <w:t xml:space="preserve"> realizadas, las recomendaciones pueden resumirse en:</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w:t>
      </w:r>
      <w:r w:rsidRPr="00F84D2E">
        <w:rPr>
          <w:rFonts w:ascii="Arial" w:hAnsi="Arial" w:cs="Arial"/>
          <w:sz w:val="20"/>
          <w:szCs w:val="20"/>
          <w:lang w:val="es-ES_tradnl"/>
        </w:rPr>
        <w:tab/>
        <w:t xml:space="preserve">Unificar el trabajo con la familia del </w:t>
      </w:r>
      <w:r w:rsidR="00D6244B">
        <w:rPr>
          <w:rFonts w:ascii="Arial" w:hAnsi="Arial" w:cs="Arial"/>
          <w:sz w:val="20"/>
          <w:szCs w:val="20"/>
          <w:lang w:val="es-ES_tradnl"/>
        </w:rPr>
        <w:t>escolar</w:t>
      </w:r>
      <w:r w:rsidRPr="00F84D2E">
        <w:rPr>
          <w:rFonts w:ascii="Arial" w:hAnsi="Arial" w:cs="Arial"/>
          <w:sz w:val="20"/>
          <w:szCs w:val="20"/>
          <w:lang w:val="es-ES_tradnl"/>
        </w:rPr>
        <w:t xml:space="preserve"> de forma tal que repercuta favorablemente en la </w:t>
      </w:r>
      <w:r w:rsidR="00D6244B">
        <w:rPr>
          <w:rFonts w:ascii="Arial" w:hAnsi="Arial" w:cs="Arial"/>
          <w:sz w:val="20"/>
          <w:szCs w:val="20"/>
          <w:lang w:val="es-ES_tradnl"/>
        </w:rPr>
        <w:t>inclusión educativa</w:t>
      </w:r>
      <w:r w:rsidRPr="00F84D2E">
        <w:rPr>
          <w:rFonts w:ascii="Arial" w:hAnsi="Arial" w:cs="Arial"/>
          <w:sz w:val="20"/>
          <w:szCs w:val="20"/>
          <w:lang w:val="es-ES_tradnl"/>
        </w:rPr>
        <w:t>.</w:t>
      </w:r>
    </w:p>
    <w:p w:rsidR="00F84D2E" w:rsidRPr="00F84D2E" w:rsidRDefault="00F84D2E" w:rsidP="00F84D2E">
      <w:pPr>
        <w:jc w:val="both"/>
        <w:rPr>
          <w:rFonts w:ascii="Arial" w:hAnsi="Arial" w:cs="Arial"/>
          <w:sz w:val="20"/>
          <w:szCs w:val="20"/>
          <w:lang w:val="es-ES_tradnl"/>
        </w:rPr>
      </w:pPr>
      <w:r w:rsidRPr="00F84D2E">
        <w:rPr>
          <w:rFonts w:ascii="Arial" w:hAnsi="Arial" w:cs="Arial"/>
          <w:sz w:val="20"/>
          <w:szCs w:val="20"/>
          <w:lang w:val="es-ES_tradnl"/>
        </w:rPr>
        <w:t>•</w:t>
      </w:r>
      <w:r w:rsidRPr="00F84D2E">
        <w:rPr>
          <w:rFonts w:ascii="Arial" w:hAnsi="Arial" w:cs="Arial"/>
          <w:sz w:val="20"/>
          <w:szCs w:val="20"/>
          <w:lang w:val="es-ES_tradnl"/>
        </w:rPr>
        <w:tab/>
        <w:t xml:space="preserve">Evaluar periódicamente la evolución de las características del </w:t>
      </w:r>
      <w:r w:rsidR="00D6244B">
        <w:rPr>
          <w:rFonts w:ascii="Arial" w:hAnsi="Arial" w:cs="Arial"/>
          <w:sz w:val="20"/>
          <w:szCs w:val="20"/>
          <w:lang w:val="es-ES_tradnl"/>
        </w:rPr>
        <w:t>escolar</w:t>
      </w:r>
      <w:r w:rsidRPr="00F84D2E">
        <w:rPr>
          <w:rFonts w:ascii="Arial" w:hAnsi="Arial" w:cs="Arial"/>
          <w:sz w:val="20"/>
          <w:szCs w:val="20"/>
          <w:lang w:val="es-ES_tradnl"/>
        </w:rPr>
        <w:t>, a fin de facilitar su educación progresiva y prever las causas de su posible involución hacia actitudes psicológicas negativas.</w:t>
      </w:r>
    </w:p>
    <w:p w:rsidR="00F84D2E" w:rsidRPr="00F84D2E" w:rsidRDefault="00F84D2E" w:rsidP="00F84D2E">
      <w:pPr>
        <w:jc w:val="both"/>
        <w:rPr>
          <w:rFonts w:ascii="Arial" w:hAnsi="Arial" w:cs="Arial"/>
          <w:sz w:val="20"/>
          <w:szCs w:val="20"/>
          <w:lang w:val="es-ES_tradnl"/>
        </w:rPr>
      </w:pPr>
    </w:p>
    <w:p w:rsidR="00445574" w:rsidRPr="00445574" w:rsidRDefault="00265B51" w:rsidP="00445574">
      <w:pPr>
        <w:jc w:val="both"/>
        <w:rPr>
          <w:rFonts w:ascii="Arial" w:hAnsi="Arial" w:cs="Arial"/>
          <w:b/>
          <w:sz w:val="20"/>
          <w:szCs w:val="20"/>
        </w:rPr>
      </w:pPr>
      <w:r>
        <w:rPr>
          <w:rStyle w:val="Titulo4Car"/>
          <w:rFonts w:ascii="Arial" w:hAnsi="Arial" w:cs="Arial"/>
        </w:rPr>
        <w:t xml:space="preserve">4. </w:t>
      </w:r>
      <w:r w:rsidR="00445574" w:rsidRPr="00445574">
        <w:rPr>
          <w:rStyle w:val="Titulo4Car"/>
          <w:rFonts w:ascii="Arial" w:hAnsi="Arial" w:cs="Arial"/>
        </w:rPr>
        <w:t>Conclusiones</w:t>
      </w:r>
    </w:p>
    <w:p w:rsidR="00445574" w:rsidRPr="00445574" w:rsidRDefault="00445574" w:rsidP="00445574">
      <w:pPr>
        <w:pStyle w:val="Titulo5"/>
        <w:rPr>
          <w:rFonts w:ascii="Arial" w:hAnsi="Arial" w:cs="Arial"/>
          <w:lang w:val="es-ES"/>
        </w:rPr>
      </w:pPr>
    </w:p>
    <w:p w:rsidR="00C30287" w:rsidRPr="00C30287" w:rsidRDefault="00C30287" w:rsidP="00C30287">
      <w:pPr>
        <w:pStyle w:val="Titulo5"/>
        <w:rPr>
          <w:rFonts w:ascii="Arial" w:hAnsi="Arial" w:cs="Arial"/>
          <w:lang w:val="es-ES"/>
        </w:rPr>
      </w:pPr>
      <w:r w:rsidRPr="00C30287">
        <w:rPr>
          <w:rFonts w:ascii="Arial" w:hAnsi="Arial" w:cs="Arial"/>
          <w:lang w:val="es-ES"/>
        </w:rPr>
        <w:t>Teniendo en cuenta el proceso de investigación realizado se arriban a las siguientes conclusiones:</w:t>
      </w:r>
    </w:p>
    <w:p w:rsidR="00C30287" w:rsidRPr="00C30287" w:rsidRDefault="00C30287" w:rsidP="00C30287">
      <w:pPr>
        <w:pStyle w:val="Titulo5"/>
        <w:rPr>
          <w:rFonts w:ascii="Arial" w:hAnsi="Arial" w:cs="Arial"/>
          <w:lang w:val="es-ES"/>
        </w:rPr>
      </w:pPr>
      <w:r w:rsidRPr="00C30287">
        <w:rPr>
          <w:rFonts w:ascii="Arial" w:hAnsi="Arial" w:cs="Arial"/>
          <w:lang w:val="es-ES"/>
        </w:rPr>
        <w:t xml:space="preserve">Existen diferentes concepciones respecto </w:t>
      </w:r>
      <w:r w:rsidR="00D6244B">
        <w:rPr>
          <w:rFonts w:ascii="Arial" w:hAnsi="Arial" w:cs="Arial"/>
          <w:lang w:val="es-ES"/>
        </w:rPr>
        <w:t>a la ataxia</w:t>
      </w:r>
      <w:r w:rsidRPr="00C30287">
        <w:rPr>
          <w:rFonts w:ascii="Arial" w:hAnsi="Arial" w:cs="Arial"/>
          <w:lang w:val="es-ES"/>
        </w:rPr>
        <w:t xml:space="preserve"> y su tratamiento en personas con antecedentes de ataxia, no obstante es insuficiente el trabajo con esta patología en escolares con ataxia </w:t>
      </w:r>
      <w:proofErr w:type="spellStart"/>
      <w:r w:rsidRPr="00C30287">
        <w:rPr>
          <w:rFonts w:ascii="Arial" w:hAnsi="Arial" w:cs="Arial"/>
          <w:lang w:val="es-ES"/>
        </w:rPr>
        <w:t>Espinocerebelosa</w:t>
      </w:r>
      <w:proofErr w:type="spellEnd"/>
      <w:r w:rsidRPr="00C30287">
        <w:rPr>
          <w:rFonts w:ascii="Arial" w:hAnsi="Arial" w:cs="Arial"/>
          <w:lang w:val="es-ES"/>
        </w:rPr>
        <w:t xml:space="preserve"> Tipo II en contextos inclusivos.</w:t>
      </w:r>
    </w:p>
    <w:p w:rsidR="00C30287" w:rsidRPr="00C30287" w:rsidRDefault="00C30287" w:rsidP="00C30287">
      <w:pPr>
        <w:pStyle w:val="Titulo5"/>
        <w:rPr>
          <w:rFonts w:ascii="Arial" w:hAnsi="Arial" w:cs="Arial"/>
          <w:lang w:val="es-ES"/>
        </w:rPr>
      </w:pPr>
      <w:r w:rsidRPr="00C30287">
        <w:rPr>
          <w:rFonts w:ascii="Arial" w:hAnsi="Arial" w:cs="Arial"/>
          <w:lang w:val="es-ES"/>
        </w:rPr>
        <w:t xml:space="preserve">La aplicación práctica de acciones sobre la base de los pilares básicos permitió influir positivamente en la atención educativa de los escolares con manifestaciones de ataxia. </w:t>
      </w:r>
    </w:p>
    <w:p w:rsidR="00AE7D64" w:rsidRDefault="00AE7D64" w:rsidP="00445574">
      <w:pPr>
        <w:pStyle w:val="Titulo5"/>
        <w:rPr>
          <w:rFonts w:ascii="Arial" w:hAnsi="Arial" w:cs="Arial"/>
          <w:lang w:val="es-ES"/>
        </w:rPr>
      </w:pPr>
    </w:p>
    <w:p w:rsidR="00AE7D64" w:rsidRPr="00AE7D64" w:rsidRDefault="00712B95" w:rsidP="00445574">
      <w:pPr>
        <w:pStyle w:val="Titulo5"/>
        <w:rPr>
          <w:rFonts w:ascii="Arial" w:hAnsi="Arial" w:cs="Arial"/>
          <w:b/>
          <w:lang w:val="es-ES"/>
        </w:rPr>
      </w:pPr>
      <w:r>
        <w:rPr>
          <w:rFonts w:ascii="Arial" w:hAnsi="Arial" w:cs="Arial"/>
          <w:b/>
          <w:lang w:val="es-ES"/>
        </w:rPr>
        <w:t>5</w:t>
      </w:r>
      <w:r w:rsidR="00AE7D64" w:rsidRPr="00AE7D64">
        <w:rPr>
          <w:rFonts w:ascii="Arial" w:hAnsi="Arial" w:cs="Arial"/>
          <w:b/>
          <w:lang w:val="es-ES"/>
        </w:rPr>
        <w:t>. CONFLICTO DE INTERESES</w:t>
      </w:r>
    </w:p>
    <w:p w:rsidR="00242DE4" w:rsidRDefault="00242DE4" w:rsidP="00445574">
      <w:pPr>
        <w:pStyle w:val="Titulo5"/>
        <w:rPr>
          <w:rFonts w:ascii="Arial" w:hAnsi="Arial" w:cs="Arial"/>
          <w:lang w:val="es-ES"/>
        </w:rPr>
      </w:pPr>
    </w:p>
    <w:p w:rsidR="00AE7D64" w:rsidRDefault="000D56CB" w:rsidP="00445574">
      <w:pPr>
        <w:pStyle w:val="Titulo5"/>
        <w:rPr>
          <w:rFonts w:ascii="Arial" w:hAnsi="Arial" w:cs="Arial"/>
          <w:lang w:val="es-ES"/>
        </w:rPr>
      </w:pPr>
      <w:r>
        <w:rPr>
          <w:rFonts w:ascii="Arial" w:hAnsi="Arial" w:cs="Arial"/>
          <w:lang w:val="es-ES"/>
        </w:rPr>
        <w:t>El autor declara que el presente trabajo no presenta conflictos de intereses</w:t>
      </w:r>
    </w:p>
    <w:p w:rsidR="00494BC2" w:rsidRDefault="00494BC2" w:rsidP="00445574">
      <w:pPr>
        <w:pStyle w:val="Titulo5"/>
        <w:rPr>
          <w:rFonts w:ascii="Arial" w:hAnsi="Arial" w:cs="Arial"/>
          <w:lang w:val="es-ES"/>
        </w:rPr>
      </w:pPr>
    </w:p>
    <w:p w:rsidR="00494BC2" w:rsidRPr="00445574" w:rsidRDefault="00494BC2" w:rsidP="00445574">
      <w:pPr>
        <w:pStyle w:val="Titulo5"/>
        <w:rPr>
          <w:rFonts w:ascii="Arial" w:hAnsi="Arial" w:cs="Arial"/>
          <w:lang w:val="es-ES"/>
        </w:rPr>
      </w:pPr>
    </w:p>
    <w:p w:rsidR="00445574" w:rsidRPr="00445574" w:rsidRDefault="00AE7D64" w:rsidP="00445574">
      <w:pPr>
        <w:pStyle w:val="Prrafodelista"/>
        <w:ind w:left="0"/>
        <w:jc w:val="both"/>
        <w:rPr>
          <w:rStyle w:val="Titulo4Car"/>
          <w:rFonts w:ascii="Arial" w:hAnsi="Arial" w:cs="Arial"/>
        </w:rPr>
      </w:pPr>
      <w:r>
        <w:rPr>
          <w:rStyle w:val="Titulo4Car"/>
          <w:rFonts w:ascii="Arial" w:hAnsi="Arial" w:cs="Arial"/>
        </w:rPr>
        <w:t>6</w:t>
      </w:r>
      <w:r w:rsidR="00265B51">
        <w:rPr>
          <w:rStyle w:val="Titulo4Car"/>
          <w:rFonts w:ascii="Arial" w:hAnsi="Arial" w:cs="Arial"/>
        </w:rPr>
        <w:t xml:space="preserve">. </w:t>
      </w:r>
      <w:r w:rsidR="00445574" w:rsidRPr="00445574">
        <w:rPr>
          <w:rStyle w:val="Titulo4Car"/>
          <w:rFonts w:ascii="Arial" w:hAnsi="Arial" w:cs="Arial"/>
        </w:rPr>
        <w:t>REFERENCIAS</w:t>
      </w:r>
      <w:r w:rsidR="003C1CA7">
        <w:rPr>
          <w:rStyle w:val="Titulo4Car"/>
          <w:rFonts w:ascii="Arial" w:hAnsi="Arial" w:cs="Arial"/>
        </w:rPr>
        <w:t xml:space="preserve"> BIBLIOGRÁFICAS </w:t>
      </w:r>
    </w:p>
    <w:p w:rsidR="00445574" w:rsidRPr="00445574" w:rsidRDefault="00445574" w:rsidP="00445574">
      <w:pPr>
        <w:pStyle w:val="Prrafodelista"/>
        <w:ind w:left="0"/>
        <w:jc w:val="both"/>
        <w:rPr>
          <w:rFonts w:ascii="Arial" w:hAnsi="Arial" w:cs="Arial"/>
          <w:b/>
          <w:bCs/>
          <w:sz w:val="20"/>
          <w:szCs w:val="20"/>
        </w:rPr>
      </w:pPr>
    </w:p>
    <w:p w:rsidR="00494BC2" w:rsidRPr="00494BC2" w:rsidRDefault="00494BC2" w:rsidP="00494BC2">
      <w:pPr>
        <w:autoSpaceDE w:val="0"/>
        <w:autoSpaceDN w:val="0"/>
        <w:adjustRightInd w:val="0"/>
        <w:ind w:left="567" w:hanging="567"/>
        <w:jc w:val="both"/>
        <w:rPr>
          <w:rFonts w:ascii="Arial" w:hAnsi="Arial" w:cs="Arial"/>
          <w:sz w:val="20"/>
          <w:szCs w:val="20"/>
          <w:lang w:val="en-US" w:eastAsia="ja-JP" w:bidi="he-IL"/>
        </w:rPr>
      </w:pPr>
      <w:r w:rsidRPr="00494BC2">
        <w:rPr>
          <w:rFonts w:ascii="Arial" w:hAnsi="Arial" w:cs="Arial"/>
          <w:sz w:val="20"/>
          <w:szCs w:val="20"/>
          <w:lang w:val="es-MX" w:eastAsia="ja-JP" w:bidi="he-IL"/>
        </w:rPr>
        <w:t xml:space="preserve">KAWUAGUCHI M, YOSHIDA T, ISHIDA A, TSUDZUKI M, YAMATE J, KOTANI T, ET AL. </w:t>
      </w:r>
      <w:r w:rsidRPr="00494BC2">
        <w:rPr>
          <w:rFonts w:ascii="Arial" w:hAnsi="Arial" w:cs="Arial"/>
          <w:sz w:val="20"/>
          <w:szCs w:val="20"/>
          <w:lang w:val="en-US" w:eastAsia="ja-JP" w:bidi="he-IL"/>
        </w:rPr>
        <w:t xml:space="preserve">Cerebellar </w:t>
      </w:r>
      <w:proofErr w:type="spellStart"/>
      <w:r w:rsidRPr="00494BC2">
        <w:rPr>
          <w:rFonts w:ascii="Arial" w:hAnsi="Arial" w:cs="Arial"/>
          <w:sz w:val="20"/>
          <w:szCs w:val="20"/>
          <w:lang w:val="en-US" w:eastAsia="ja-JP" w:bidi="he-IL"/>
        </w:rPr>
        <w:t>vermis</w:t>
      </w:r>
      <w:proofErr w:type="spellEnd"/>
      <w:r w:rsidRPr="00494BC2">
        <w:rPr>
          <w:rFonts w:ascii="Arial" w:hAnsi="Arial" w:cs="Arial"/>
          <w:sz w:val="20"/>
          <w:szCs w:val="20"/>
          <w:lang w:val="en-US" w:eastAsia="ja-JP" w:bidi="he-IL"/>
        </w:rPr>
        <w:t xml:space="preserve"> defect: a new neurological mutation in the </w:t>
      </w:r>
      <w:proofErr w:type="spellStart"/>
      <w:r w:rsidRPr="00494BC2">
        <w:rPr>
          <w:rFonts w:ascii="Arial" w:hAnsi="Arial" w:cs="Arial"/>
          <w:sz w:val="20"/>
          <w:szCs w:val="20"/>
          <w:lang w:val="en-US" w:eastAsia="ja-JP" w:bidi="he-IL"/>
        </w:rPr>
        <w:t>rat.J</w:t>
      </w:r>
      <w:proofErr w:type="spellEnd"/>
      <w:r w:rsidRPr="00494BC2">
        <w:rPr>
          <w:rFonts w:ascii="Arial" w:hAnsi="Arial" w:cs="Arial"/>
          <w:sz w:val="20"/>
          <w:szCs w:val="20"/>
          <w:lang w:val="en-US" w:eastAsia="ja-JP" w:bidi="he-IL"/>
        </w:rPr>
        <w:t xml:space="preserve"> </w:t>
      </w:r>
      <w:proofErr w:type="spellStart"/>
      <w:r w:rsidRPr="00494BC2">
        <w:rPr>
          <w:rFonts w:ascii="Arial" w:hAnsi="Arial" w:cs="Arial"/>
          <w:sz w:val="20"/>
          <w:szCs w:val="20"/>
          <w:lang w:val="en-US" w:eastAsia="ja-JP" w:bidi="he-IL"/>
        </w:rPr>
        <w:t>Hered</w:t>
      </w:r>
      <w:proofErr w:type="spellEnd"/>
      <w:r w:rsidRPr="00494BC2">
        <w:rPr>
          <w:rFonts w:ascii="Arial" w:hAnsi="Arial" w:cs="Arial"/>
          <w:sz w:val="20"/>
          <w:szCs w:val="20"/>
          <w:lang w:val="en-US" w:eastAsia="ja-JP" w:bidi="he-IL"/>
        </w:rPr>
        <w:t xml:space="preserve"> 1994.</w:t>
      </w:r>
    </w:p>
    <w:p w:rsidR="00494BC2" w:rsidRPr="00494BC2" w:rsidRDefault="00494BC2" w:rsidP="00494BC2">
      <w:pPr>
        <w:autoSpaceDE w:val="0"/>
        <w:autoSpaceDN w:val="0"/>
        <w:adjustRightInd w:val="0"/>
        <w:ind w:left="567" w:hanging="567"/>
        <w:jc w:val="both"/>
        <w:rPr>
          <w:rFonts w:ascii="Arial" w:hAnsi="Arial" w:cs="Arial"/>
          <w:sz w:val="20"/>
          <w:szCs w:val="20"/>
          <w:lang w:val="es-MX" w:eastAsia="ja-JP" w:bidi="he-IL"/>
        </w:rPr>
      </w:pPr>
      <w:r w:rsidRPr="00494BC2">
        <w:rPr>
          <w:rFonts w:ascii="Arial" w:hAnsi="Arial" w:cs="Arial"/>
          <w:sz w:val="20"/>
          <w:szCs w:val="20"/>
          <w:lang w:val="es-MX" w:eastAsia="ja-JP" w:bidi="he-IL"/>
        </w:rPr>
        <w:t xml:space="preserve">MÚJINA, V. S.  Psicología </w:t>
      </w:r>
      <w:proofErr w:type="spellStart"/>
      <w:r w:rsidRPr="00494BC2">
        <w:rPr>
          <w:rFonts w:ascii="Arial" w:hAnsi="Arial" w:cs="Arial"/>
          <w:sz w:val="20"/>
          <w:szCs w:val="20"/>
          <w:lang w:val="es-MX" w:eastAsia="ja-JP" w:bidi="he-IL"/>
        </w:rPr>
        <w:t>Infantil.__La</w:t>
      </w:r>
      <w:proofErr w:type="spellEnd"/>
      <w:r w:rsidRPr="00494BC2">
        <w:rPr>
          <w:rFonts w:ascii="Arial" w:hAnsi="Arial" w:cs="Arial"/>
          <w:sz w:val="20"/>
          <w:szCs w:val="20"/>
          <w:lang w:val="es-MX" w:eastAsia="ja-JP" w:bidi="he-IL"/>
        </w:rPr>
        <w:t xml:space="preserve"> Habana: Ed. Pueblo y Educación</w:t>
      </w:r>
      <w:proofErr w:type="gramStart"/>
      <w:r w:rsidRPr="00494BC2">
        <w:rPr>
          <w:rFonts w:ascii="Arial" w:hAnsi="Arial" w:cs="Arial"/>
          <w:sz w:val="20"/>
          <w:szCs w:val="20"/>
          <w:lang w:val="es-MX" w:eastAsia="ja-JP" w:bidi="he-IL"/>
        </w:rPr>
        <w:t>,  1988</w:t>
      </w:r>
      <w:proofErr w:type="gramEnd"/>
      <w:r w:rsidRPr="00494BC2">
        <w:rPr>
          <w:rFonts w:ascii="Arial" w:hAnsi="Arial" w:cs="Arial"/>
          <w:sz w:val="20"/>
          <w:szCs w:val="20"/>
          <w:lang w:val="es-MX" w:eastAsia="ja-JP" w:bidi="he-IL"/>
        </w:rPr>
        <w:t xml:space="preserve">. </w:t>
      </w:r>
    </w:p>
    <w:p w:rsidR="00494BC2" w:rsidRPr="00494BC2" w:rsidRDefault="00494BC2" w:rsidP="00494BC2">
      <w:pPr>
        <w:autoSpaceDE w:val="0"/>
        <w:autoSpaceDN w:val="0"/>
        <w:adjustRightInd w:val="0"/>
        <w:ind w:left="567" w:hanging="567"/>
        <w:jc w:val="both"/>
        <w:rPr>
          <w:rFonts w:ascii="Arial" w:hAnsi="Arial" w:cs="Arial"/>
          <w:sz w:val="20"/>
          <w:szCs w:val="20"/>
          <w:lang w:val="es-MX" w:eastAsia="ja-JP" w:bidi="he-IL"/>
        </w:rPr>
      </w:pPr>
      <w:proofErr w:type="spellStart"/>
      <w:r w:rsidRPr="00494BC2">
        <w:rPr>
          <w:rFonts w:ascii="Arial" w:hAnsi="Arial" w:cs="Arial"/>
          <w:sz w:val="20"/>
          <w:szCs w:val="20"/>
          <w:lang w:val="es-MX" w:eastAsia="ja-JP" w:bidi="he-IL"/>
        </w:rPr>
        <w:t>Petrosky</w:t>
      </w:r>
      <w:proofErr w:type="spellEnd"/>
      <w:r w:rsidRPr="00494BC2">
        <w:rPr>
          <w:rFonts w:ascii="Arial" w:hAnsi="Arial" w:cs="Arial"/>
          <w:sz w:val="20"/>
          <w:szCs w:val="20"/>
          <w:lang w:val="es-MX" w:eastAsia="ja-JP" w:bidi="he-IL"/>
        </w:rPr>
        <w:t xml:space="preserve"> AV. Psicología- Pedagogía de las edades. Edit. Pueblo y Educación, La Habana</w:t>
      </w:r>
      <w:proofErr w:type="gramStart"/>
      <w:r w:rsidRPr="00494BC2">
        <w:rPr>
          <w:rFonts w:ascii="Arial" w:hAnsi="Arial" w:cs="Arial"/>
          <w:sz w:val="20"/>
          <w:szCs w:val="20"/>
          <w:lang w:val="es-MX" w:eastAsia="ja-JP" w:bidi="he-IL"/>
        </w:rPr>
        <w:t>,1978</w:t>
      </w:r>
      <w:proofErr w:type="gramEnd"/>
      <w:r w:rsidRPr="00494BC2">
        <w:rPr>
          <w:rFonts w:ascii="Arial" w:hAnsi="Arial" w:cs="Arial"/>
          <w:sz w:val="20"/>
          <w:szCs w:val="20"/>
          <w:lang w:val="es-MX" w:eastAsia="ja-JP" w:bidi="he-IL"/>
        </w:rPr>
        <w:t xml:space="preserve">. </w:t>
      </w:r>
    </w:p>
    <w:p w:rsidR="00494BC2" w:rsidRPr="00494BC2" w:rsidRDefault="00494BC2" w:rsidP="00494BC2">
      <w:pPr>
        <w:autoSpaceDE w:val="0"/>
        <w:autoSpaceDN w:val="0"/>
        <w:adjustRightInd w:val="0"/>
        <w:ind w:left="567" w:hanging="567"/>
        <w:jc w:val="both"/>
        <w:rPr>
          <w:rFonts w:ascii="Arial" w:hAnsi="Arial" w:cs="Arial"/>
          <w:sz w:val="20"/>
          <w:szCs w:val="20"/>
          <w:lang w:val="es-MX" w:eastAsia="ja-JP" w:bidi="he-IL"/>
        </w:rPr>
      </w:pPr>
      <w:r w:rsidRPr="00494BC2">
        <w:rPr>
          <w:rFonts w:ascii="Arial" w:hAnsi="Arial" w:cs="Arial"/>
          <w:sz w:val="20"/>
          <w:szCs w:val="20"/>
          <w:lang w:val="es-MX" w:eastAsia="ja-JP" w:bidi="he-IL"/>
        </w:rPr>
        <w:t xml:space="preserve">SIVERIO GÓMEZ, ANA MARÍA. El proceso educativo y desarrollo infantil.__ p.11.__ En Revista Educación.__ No. 114.__La Habana, ene - abr, 2005. </w:t>
      </w:r>
    </w:p>
    <w:p w:rsidR="00494BC2" w:rsidRPr="004552CE" w:rsidRDefault="00494BC2" w:rsidP="00494BC2">
      <w:pPr>
        <w:autoSpaceDE w:val="0"/>
        <w:autoSpaceDN w:val="0"/>
        <w:adjustRightInd w:val="0"/>
        <w:ind w:left="567" w:hanging="567"/>
        <w:jc w:val="both"/>
        <w:rPr>
          <w:rFonts w:ascii="Arial" w:hAnsi="Arial" w:cs="Arial"/>
          <w:sz w:val="20"/>
          <w:szCs w:val="20"/>
          <w:lang w:val="es-MX" w:eastAsia="ja-JP" w:bidi="he-IL"/>
        </w:rPr>
      </w:pPr>
      <w:r w:rsidRPr="00494BC2">
        <w:rPr>
          <w:rFonts w:ascii="Arial" w:hAnsi="Arial" w:cs="Arial"/>
          <w:sz w:val="20"/>
          <w:szCs w:val="20"/>
          <w:lang w:val="es-MX" w:eastAsia="ja-JP" w:bidi="he-IL"/>
        </w:rPr>
        <w:t xml:space="preserve">Pérez Velázquez, Luis. Principales aspectos neurológicos en el diagnóstico, pronóstico y evolución de la enfermedad. </w:t>
      </w:r>
      <w:r w:rsidRPr="004552CE">
        <w:rPr>
          <w:rFonts w:ascii="Arial" w:hAnsi="Arial" w:cs="Arial"/>
          <w:sz w:val="20"/>
          <w:szCs w:val="20"/>
          <w:lang w:val="es-MX" w:eastAsia="ja-JP" w:bidi="he-IL"/>
        </w:rPr>
        <w:t>Ediciones Holguín, 2006.</w:t>
      </w:r>
    </w:p>
    <w:p w:rsidR="00494BC2" w:rsidRPr="00494BC2" w:rsidRDefault="00494BC2" w:rsidP="00494BC2">
      <w:pPr>
        <w:autoSpaceDE w:val="0"/>
        <w:autoSpaceDN w:val="0"/>
        <w:adjustRightInd w:val="0"/>
        <w:ind w:left="567" w:hanging="567"/>
        <w:jc w:val="both"/>
        <w:rPr>
          <w:rFonts w:ascii="Arial" w:hAnsi="Arial" w:cs="Arial"/>
          <w:sz w:val="20"/>
          <w:szCs w:val="20"/>
          <w:lang w:val="en-US" w:eastAsia="ja-JP" w:bidi="he-IL"/>
        </w:rPr>
      </w:pPr>
      <w:r w:rsidRPr="00494BC2">
        <w:rPr>
          <w:rFonts w:ascii="Arial" w:hAnsi="Arial" w:cs="Arial"/>
          <w:sz w:val="20"/>
          <w:szCs w:val="20"/>
          <w:lang w:val="es-MX" w:eastAsia="ja-JP" w:bidi="he-IL"/>
        </w:rPr>
        <w:t xml:space="preserve">Pérez Velázquez, Luis y Rodríguez Labrada, Roberto. Manifestaciones tempranas de la ataxia </w:t>
      </w:r>
      <w:proofErr w:type="spellStart"/>
      <w:r w:rsidRPr="00494BC2">
        <w:rPr>
          <w:rFonts w:ascii="Arial" w:hAnsi="Arial" w:cs="Arial"/>
          <w:sz w:val="20"/>
          <w:szCs w:val="20"/>
          <w:lang w:val="es-MX" w:eastAsia="ja-JP" w:bidi="he-IL"/>
        </w:rPr>
        <w:t>espinocerebelosa</w:t>
      </w:r>
      <w:proofErr w:type="spellEnd"/>
      <w:r w:rsidRPr="00494BC2">
        <w:rPr>
          <w:rFonts w:ascii="Arial" w:hAnsi="Arial" w:cs="Arial"/>
          <w:sz w:val="20"/>
          <w:szCs w:val="20"/>
          <w:lang w:val="es-MX" w:eastAsia="ja-JP" w:bidi="he-IL"/>
        </w:rPr>
        <w:t xml:space="preserve"> tipo2.  </w:t>
      </w:r>
      <w:proofErr w:type="spellStart"/>
      <w:r w:rsidRPr="00494BC2">
        <w:rPr>
          <w:rFonts w:ascii="Arial" w:hAnsi="Arial" w:cs="Arial"/>
          <w:sz w:val="20"/>
          <w:szCs w:val="20"/>
          <w:lang w:val="en-US" w:eastAsia="ja-JP" w:bidi="he-IL"/>
        </w:rPr>
        <w:t>Ediciones</w:t>
      </w:r>
      <w:proofErr w:type="spellEnd"/>
      <w:r w:rsidRPr="00494BC2">
        <w:rPr>
          <w:rFonts w:ascii="Arial" w:hAnsi="Arial" w:cs="Arial"/>
          <w:sz w:val="20"/>
          <w:szCs w:val="20"/>
          <w:lang w:val="en-US" w:eastAsia="ja-JP" w:bidi="he-IL"/>
        </w:rPr>
        <w:t xml:space="preserve"> Holguín, 2012.</w:t>
      </w:r>
    </w:p>
    <w:p w:rsidR="00CA78F8" w:rsidRDefault="00CA78F8" w:rsidP="00494BC2">
      <w:pPr>
        <w:autoSpaceDE w:val="0"/>
        <w:autoSpaceDN w:val="0"/>
        <w:adjustRightInd w:val="0"/>
        <w:ind w:left="567" w:hanging="567"/>
        <w:jc w:val="both"/>
        <w:rPr>
          <w:rFonts w:ascii="Arial" w:hAnsi="Arial" w:cs="Arial"/>
          <w:sz w:val="20"/>
          <w:szCs w:val="20"/>
          <w:lang w:val="en-US" w:eastAsia="ja-JP" w:bidi="he-IL"/>
        </w:rPr>
      </w:pPr>
    </w:p>
    <w:sectPr w:rsidR="00CA78F8" w:rsidSect="00FD0F04">
      <w:headerReference w:type="default" r:id="rId9"/>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F31" w:rsidRDefault="00963F31" w:rsidP="00665207">
      <w:r>
        <w:separator/>
      </w:r>
    </w:p>
  </w:endnote>
  <w:endnote w:type="continuationSeparator" w:id="0">
    <w:p w:rsidR="00963F31" w:rsidRDefault="00963F31"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F31" w:rsidRDefault="00963F31" w:rsidP="00665207">
      <w:r>
        <w:separator/>
      </w:r>
    </w:p>
  </w:footnote>
  <w:footnote w:type="continuationSeparator" w:id="0">
    <w:p w:rsidR="00963F31" w:rsidRDefault="00963F31"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F31" w:rsidRDefault="00963F31">
    <w:pPr>
      <w:pStyle w:val="Encabezado"/>
    </w:pPr>
    <w:r>
      <w:rPr>
        <w:rStyle w:val="Ttulo1Car"/>
        <w:rFonts w:ascii="Arial" w:eastAsia="Batang" w:hAnsi="Arial" w:cs="Arial"/>
        <w:b w:val="0"/>
        <w:noProof/>
        <w:lang w:val="es-ES_tradnl" w:eastAsia="es-ES_tradnl"/>
      </w:rPr>
      <w:drawing>
        <wp:anchor distT="0" distB="0" distL="114300" distR="114300" simplePos="0" relativeHeight="251658240" behindDoc="0" locked="0" layoutInCell="1" allowOverlap="1">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87C8C"/>
    <w:multiLevelType w:val="hybridMultilevel"/>
    <w:tmpl w:val="BD804A1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51223EA"/>
    <w:multiLevelType w:val="hybridMultilevel"/>
    <w:tmpl w:val="E23C96A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3">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62EB1BB3"/>
    <w:multiLevelType w:val="singleLevel"/>
    <w:tmpl w:val="319EC3F2"/>
    <w:lvl w:ilvl="0">
      <w:start w:val="1"/>
      <w:numFmt w:val="decimal"/>
      <w:lvlText w:val="%1."/>
      <w:lvlJc w:val="left"/>
      <w:pPr>
        <w:tabs>
          <w:tab w:val="num" w:pos="360"/>
        </w:tabs>
        <w:ind w:left="360" w:hanging="360"/>
      </w:pPr>
    </w:lvl>
  </w:abstractNum>
  <w:abstractNum w:abstractNumId="9">
    <w:nsid w:val="6ACD047B"/>
    <w:multiLevelType w:val="hybridMultilevel"/>
    <w:tmpl w:val="49522E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11">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4"/>
  </w:num>
  <w:num w:numId="4">
    <w:abstractNumId w:val="2"/>
  </w:num>
  <w:num w:numId="5">
    <w:abstractNumId w:val="5"/>
  </w:num>
  <w:num w:numId="6">
    <w:abstractNumId w:val="7"/>
  </w:num>
  <w:num w:numId="7">
    <w:abstractNumId w:val="6"/>
  </w:num>
  <w:num w:numId="8">
    <w:abstractNumId w:val="10"/>
  </w:num>
  <w:num w:numId="9">
    <w:abstractNumId w:val="11"/>
  </w:num>
  <w:num w:numId="10">
    <w:abstractNumId w:val="1"/>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30F5A"/>
    <w:rsid w:val="000410F7"/>
    <w:rsid w:val="0006295E"/>
    <w:rsid w:val="000A3603"/>
    <w:rsid w:val="000D56CB"/>
    <w:rsid w:val="000E26C8"/>
    <w:rsid w:val="000F4E7C"/>
    <w:rsid w:val="001049A1"/>
    <w:rsid w:val="00127EED"/>
    <w:rsid w:val="00133899"/>
    <w:rsid w:val="00141169"/>
    <w:rsid w:val="00152255"/>
    <w:rsid w:val="00167421"/>
    <w:rsid w:val="00192911"/>
    <w:rsid w:val="001A37FB"/>
    <w:rsid w:val="001B17C3"/>
    <w:rsid w:val="001B652A"/>
    <w:rsid w:val="001C73A6"/>
    <w:rsid w:val="001F77FA"/>
    <w:rsid w:val="00201DBF"/>
    <w:rsid w:val="002367B5"/>
    <w:rsid w:val="00242DE4"/>
    <w:rsid w:val="00246424"/>
    <w:rsid w:val="00265B51"/>
    <w:rsid w:val="002B2917"/>
    <w:rsid w:val="002D0694"/>
    <w:rsid w:val="00322C99"/>
    <w:rsid w:val="00333152"/>
    <w:rsid w:val="003439AE"/>
    <w:rsid w:val="00362181"/>
    <w:rsid w:val="00372E0B"/>
    <w:rsid w:val="003A380D"/>
    <w:rsid w:val="003C1CA7"/>
    <w:rsid w:val="003D02E5"/>
    <w:rsid w:val="003E30EB"/>
    <w:rsid w:val="00404176"/>
    <w:rsid w:val="00426196"/>
    <w:rsid w:val="00430236"/>
    <w:rsid w:val="00436EAD"/>
    <w:rsid w:val="00445574"/>
    <w:rsid w:val="004552CE"/>
    <w:rsid w:val="00463647"/>
    <w:rsid w:val="00494A55"/>
    <w:rsid w:val="00494BC2"/>
    <w:rsid w:val="00495BA2"/>
    <w:rsid w:val="004F7EF0"/>
    <w:rsid w:val="0050235E"/>
    <w:rsid w:val="00511F93"/>
    <w:rsid w:val="00523CC6"/>
    <w:rsid w:val="005273DA"/>
    <w:rsid w:val="005343FE"/>
    <w:rsid w:val="00534A5E"/>
    <w:rsid w:val="005430D0"/>
    <w:rsid w:val="005467BA"/>
    <w:rsid w:val="00565272"/>
    <w:rsid w:val="00571701"/>
    <w:rsid w:val="0057622B"/>
    <w:rsid w:val="005D042F"/>
    <w:rsid w:val="005D33B8"/>
    <w:rsid w:val="00623D63"/>
    <w:rsid w:val="006453FA"/>
    <w:rsid w:val="00650AD4"/>
    <w:rsid w:val="00665207"/>
    <w:rsid w:val="00666DB5"/>
    <w:rsid w:val="00692C51"/>
    <w:rsid w:val="006A2597"/>
    <w:rsid w:val="006D37D5"/>
    <w:rsid w:val="006F5811"/>
    <w:rsid w:val="00712B95"/>
    <w:rsid w:val="0073473A"/>
    <w:rsid w:val="00735CDE"/>
    <w:rsid w:val="0075459F"/>
    <w:rsid w:val="00767B24"/>
    <w:rsid w:val="007718B8"/>
    <w:rsid w:val="00810AD1"/>
    <w:rsid w:val="00825E32"/>
    <w:rsid w:val="008321E1"/>
    <w:rsid w:val="00834227"/>
    <w:rsid w:val="00842861"/>
    <w:rsid w:val="00856908"/>
    <w:rsid w:val="00867416"/>
    <w:rsid w:val="008A0EF1"/>
    <w:rsid w:val="008A1816"/>
    <w:rsid w:val="008E1192"/>
    <w:rsid w:val="008E2486"/>
    <w:rsid w:val="00935B99"/>
    <w:rsid w:val="009546B2"/>
    <w:rsid w:val="00963F31"/>
    <w:rsid w:val="00964775"/>
    <w:rsid w:val="00991347"/>
    <w:rsid w:val="009B2FD9"/>
    <w:rsid w:val="009B5830"/>
    <w:rsid w:val="009C4DC5"/>
    <w:rsid w:val="009D040A"/>
    <w:rsid w:val="00A2347D"/>
    <w:rsid w:val="00A3151E"/>
    <w:rsid w:val="00A51A95"/>
    <w:rsid w:val="00A61E78"/>
    <w:rsid w:val="00A808F1"/>
    <w:rsid w:val="00AA095C"/>
    <w:rsid w:val="00AA2D8D"/>
    <w:rsid w:val="00AA6E0D"/>
    <w:rsid w:val="00AB2925"/>
    <w:rsid w:val="00AC4117"/>
    <w:rsid w:val="00AE269A"/>
    <w:rsid w:val="00AE7D64"/>
    <w:rsid w:val="00B043B0"/>
    <w:rsid w:val="00B40099"/>
    <w:rsid w:val="00BA0A21"/>
    <w:rsid w:val="00BA22AC"/>
    <w:rsid w:val="00BB298C"/>
    <w:rsid w:val="00BC53D4"/>
    <w:rsid w:val="00BD12F3"/>
    <w:rsid w:val="00C25441"/>
    <w:rsid w:val="00C30287"/>
    <w:rsid w:val="00C35C1E"/>
    <w:rsid w:val="00C440C7"/>
    <w:rsid w:val="00C65B46"/>
    <w:rsid w:val="00C74957"/>
    <w:rsid w:val="00C75318"/>
    <w:rsid w:val="00C84D9E"/>
    <w:rsid w:val="00CA78F8"/>
    <w:rsid w:val="00CB343D"/>
    <w:rsid w:val="00CE7481"/>
    <w:rsid w:val="00D326B2"/>
    <w:rsid w:val="00D41A8E"/>
    <w:rsid w:val="00D43F8B"/>
    <w:rsid w:val="00D54A3B"/>
    <w:rsid w:val="00D55CBB"/>
    <w:rsid w:val="00D6244B"/>
    <w:rsid w:val="00D91871"/>
    <w:rsid w:val="00DA24EF"/>
    <w:rsid w:val="00DA626F"/>
    <w:rsid w:val="00DA64B4"/>
    <w:rsid w:val="00DF4478"/>
    <w:rsid w:val="00E1562A"/>
    <w:rsid w:val="00E24480"/>
    <w:rsid w:val="00E24DB2"/>
    <w:rsid w:val="00E3109F"/>
    <w:rsid w:val="00E33DD5"/>
    <w:rsid w:val="00E71091"/>
    <w:rsid w:val="00E81F9E"/>
    <w:rsid w:val="00E8635B"/>
    <w:rsid w:val="00E870A4"/>
    <w:rsid w:val="00EA69AA"/>
    <w:rsid w:val="00EB3690"/>
    <w:rsid w:val="00EB7FE9"/>
    <w:rsid w:val="00EC2B9D"/>
    <w:rsid w:val="00EE157C"/>
    <w:rsid w:val="00EE6E25"/>
    <w:rsid w:val="00EF227F"/>
    <w:rsid w:val="00EF3508"/>
    <w:rsid w:val="00F01283"/>
    <w:rsid w:val="00F06975"/>
    <w:rsid w:val="00F226F0"/>
    <w:rsid w:val="00F25C83"/>
    <w:rsid w:val="00F3088B"/>
    <w:rsid w:val="00F35054"/>
    <w:rsid w:val="00F37FAE"/>
    <w:rsid w:val="00F730E1"/>
    <w:rsid w:val="00F84D2E"/>
    <w:rsid w:val="00F85B4F"/>
    <w:rsid w:val="00FD0F04"/>
    <w:rsid w:val="00FD5815"/>
    <w:rsid w:val="00FE55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4E1242D-29AF-4D48-8905-02F8C74AD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uiPriority w:val="99"/>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uiPriority w:val="99"/>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paragraph" w:customStyle="1" w:styleId="PSITablaD">
    <w:name w:val="PSI_TablaD"/>
    <w:basedOn w:val="Normal"/>
    <w:rsid w:val="00EA69AA"/>
    <w:pPr>
      <w:jc w:val="center"/>
    </w:pPr>
    <w:rPr>
      <w:rFonts w:eastAsia="Times New Roman"/>
      <w:sz w:val="20"/>
      <w:szCs w:val="20"/>
      <w:lang w:eastAsia="es-ES"/>
    </w:rPr>
  </w:style>
  <w:style w:type="paragraph" w:styleId="Textoindependiente">
    <w:name w:val="Body Text"/>
    <w:basedOn w:val="Normal"/>
    <w:link w:val="TextoindependienteCar"/>
    <w:uiPriority w:val="99"/>
    <w:semiHidden/>
    <w:unhideWhenUsed/>
    <w:rsid w:val="00963F31"/>
    <w:pPr>
      <w:spacing w:after="120"/>
    </w:pPr>
  </w:style>
  <w:style w:type="character" w:customStyle="1" w:styleId="TextoindependienteCar">
    <w:name w:val="Texto independiente Car"/>
    <w:basedOn w:val="Fuentedeprrafopredeter"/>
    <w:link w:val="Textoindependiente"/>
    <w:uiPriority w:val="99"/>
    <w:semiHidden/>
    <w:rsid w:val="00963F31"/>
    <w:rPr>
      <w:rFonts w:ascii="Times New Roman" w:eastAsia="Batang" w:hAnsi="Times New Roman" w:cs="Times New Roman"/>
      <w:sz w:val="24"/>
      <w:szCs w:val="24"/>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pena@uho.edu.c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59FD1-E26D-4633-99A7-E8C0B83BB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7</Pages>
  <Words>4271</Words>
  <Characters>23496</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27712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autores</cp:lastModifiedBy>
  <cp:revision>59</cp:revision>
  <dcterms:created xsi:type="dcterms:W3CDTF">2018-12-21T07:26:00Z</dcterms:created>
  <dcterms:modified xsi:type="dcterms:W3CDTF">2019-03-04T03:11:00Z</dcterms:modified>
</cp:coreProperties>
</file>